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p>
      <w:pPr>
        <w:spacing w:before="0" w:after="0"/>
        <w:rPr>
          <w:sz w:val="22"/>
          <w:szCs w:val="22"/>
        </w:rPr>
      </w:pPr>
    </w:p>
    <w:p>
      <w:pPr>
        <w:spacing w:before="0" w:after="0"/>
        <w:rPr>
          <w:sz w:val="22"/>
          <w:szCs w:val="22"/>
        </w:rPr>
      </w:pPr>
    </w:p>
    <w:p>
      <w:pPr>
        <w:spacing w:before="0" w:after="0"/>
        <w:jc w:val="center"/>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jc w:val="center"/>
        <w:rPr>
          <w:sz w:val="22"/>
          <w:szCs w:val="22"/>
        </w:rPr>
      </w:pPr>
      <w:r>
        <w:rPr>
          <w:strike w:val="0"/>
          <w:sz w:val="22"/>
          <w:szCs w:val="22"/>
          <w:u w:val="none"/>
        </w:rPr>
        <w:drawing>
          <wp:inline>
            <wp:extent cx="2743200" cy="1409700"/>
            <wp:docPr id="100003" name=""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4"/>
                    <a:stretch>
                      <a:fillRect/>
                    </a:stretch>
                  </pic:blipFill>
                  <pic:spPr>
                    <a:xfrm>
                      <a:off x="0" y="0"/>
                      <a:ext cx="2743200" cy="1409700"/>
                    </a:xfrm>
                    <a:prstGeom prst="rect">
                      <a:avLst/>
                    </a:prstGeom>
                  </pic:spPr>
                </pic:pic>
              </a:graphicData>
            </a:graphic>
          </wp:inline>
        </w:drawing>
      </w: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jc w:val="center"/>
        <w:rPr>
          <w:sz w:val="20"/>
          <w:szCs w:val="20"/>
        </w:rPr>
      </w:pPr>
      <w:r>
        <w:rPr>
          <w:rFonts w:ascii="Arial" w:eastAsia="Arial" w:hAnsi="Arial" w:cs="Arial"/>
          <w:b/>
          <w:bCs/>
          <w:sz w:val="20"/>
          <w:szCs w:val="20"/>
        </w:rPr>
        <w:t>REQUEST FOR BIDS</w:t>
      </w:r>
    </w:p>
    <w:p>
      <w:pPr>
        <w:pStyle w:val="Heading2"/>
        <w:spacing w:before="0" w:after="0"/>
        <w:jc w:val="center"/>
        <w:rPr>
          <w:b/>
          <w:bCs/>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jc w:val="both"/>
        <w:rPr>
          <w:sz w:val="20"/>
          <w:szCs w:val="20"/>
        </w:rPr>
      </w:pPr>
      <w:r>
        <w:rPr>
          <w:rFonts w:ascii="Arial" w:eastAsia="Arial" w:hAnsi="Arial" w:cs="Arial"/>
          <w:b/>
          <w:bCs/>
          <w:sz w:val="20"/>
          <w:szCs w:val="20"/>
        </w:rPr>
        <w:t>A</w:t>
      </w:r>
      <w:r>
        <w:rPr>
          <w:rFonts w:ascii="Arial" w:eastAsia="Arial" w:hAnsi="Arial" w:cs="Arial"/>
          <w:b/>
          <w:bCs/>
          <w:sz w:val="20"/>
          <w:szCs w:val="20"/>
        </w:rPr>
        <w:t>ppoint</w:t>
      </w:r>
      <w:r>
        <w:rPr>
          <w:rFonts w:ascii="Arial" w:eastAsia="Arial" w:hAnsi="Arial" w:cs="Arial"/>
          <w:b/>
          <w:bCs/>
          <w:sz w:val="20"/>
          <w:szCs w:val="20"/>
        </w:rPr>
        <w:t xml:space="preserve">ment </w:t>
      </w:r>
      <w:r>
        <w:rPr>
          <w:rFonts w:ascii="Arial" w:eastAsia="Arial" w:hAnsi="Arial" w:cs="Arial"/>
          <w:b/>
          <w:bCs/>
          <w:sz w:val="20"/>
          <w:szCs w:val="20"/>
        </w:rPr>
        <w:t>of INSETA / QCTO Accredited Training Providers to implement a PILOT program for Final Integrated Summative Assessment (FISA)</w:t>
      </w:r>
      <w:r>
        <w:rPr>
          <w:rFonts w:ascii="Arial" w:eastAsia="Arial" w:hAnsi="Arial" w:cs="Arial"/>
          <w:b/>
          <w:bCs/>
          <w:sz w:val="20"/>
          <w:szCs w:val="20"/>
        </w:rPr>
        <w:t xml:space="preserve"> </w:t>
      </w:r>
      <w:r>
        <w:rPr>
          <w:rFonts w:ascii="Arial" w:eastAsia="Arial" w:hAnsi="Arial" w:cs="Arial"/>
          <w:b/>
          <w:bCs/>
          <w:sz w:val="20"/>
          <w:szCs w:val="20"/>
        </w:rPr>
        <w:t xml:space="preserve">of </w:t>
      </w:r>
      <w:r>
        <w:rPr>
          <w:rFonts w:ascii="Arial" w:eastAsia="Arial" w:hAnsi="Arial" w:cs="Arial"/>
          <w:b/>
          <w:bCs/>
          <w:sz w:val="20"/>
          <w:szCs w:val="20"/>
        </w:rPr>
        <w:t>Short</w:t>
      </w:r>
      <w:r>
        <w:rPr>
          <w:rFonts w:ascii="Arial" w:eastAsia="Arial" w:hAnsi="Arial" w:cs="Arial"/>
          <w:b/>
          <w:bCs/>
          <w:sz w:val="20"/>
          <w:szCs w:val="20"/>
        </w:rPr>
        <w:t>-</w:t>
      </w:r>
      <w:r>
        <w:rPr>
          <w:rFonts w:ascii="Arial" w:eastAsia="Arial" w:hAnsi="Arial" w:cs="Arial"/>
          <w:b/>
          <w:bCs/>
          <w:sz w:val="20"/>
          <w:szCs w:val="20"/>
        </w:rPr>
        <w:t>Term Insurance</w:t>
      </w:r>
      <w:r>
        <w:rPr>
          <w:rFonts w:ascii="Arial" w:eastAsia="Arial" w:hAnsi="Arial" w:cs="Arial"/>
          <w:b/>
          <w:bCs/>
          <w:sz w:val="20"/>
          <w:szCs w:val="20"/>
        </w:rPr>
        <w:t xml:space="preserve"> </w:t>
      </w:r>
      <w:r>
        <w:rPr>
          <w:rFonts w:ascii="Arial" w:eastAsia="Arial" w:hAnsi="Arial" w:cs="Arial"/>
          <w:b/>
          <w:bCs/>
          <w:sz w:val="20"/>
          <w:szCs w:val="20"/>
        </w:rPr>
        <w:t xml:space="preserve">NQF Level 4 </w:t>
      </w:r>
      <w:r>
        <w:rPr>
          <w:rFonts w:ascii="Arial" w:eastAsia="Arial" w:hAnsi="Arial" w:cs="Arial"/>
          <w:b/>
          <w:bCs/>
          <w:sz w:val="20"/>
          <w:szCs w:val="20"/>
        </w:rPr>
        <w:t>f</w:t>
      </w:r>
      <w:r>
        <w:rPr>
          <w:rFonts w:ascii="Arial" w:eastAsia="Arial" w:hAnsi="Arial" w:cs="Arial"/>
          <w:b/>
          <w:bCs/>
          <w:sz w:val="20"/>
          <w:szCs w:val="20"/>
        </w:rPr>
        <w:t xml:space="preserve">or </w:t>
      </w:r>
      <w:r>
        <w:rPr>
          <w:rFonts w:ascii="Arial" w:eastAsia="Arial" w:hAnsi="Arial" w:cs="Arial"/>
          <w:b/>
          <w:bCs/>
          <w:sz w:val="20"/>
          <w:szCs w:val="20"/>
        </w:rPr>
        <w:t>employed or unemployed learners.</w:t>
      </w:r>
    </w:p>
    <w:p>
      <w:pPr>
        <w:spacing w:before="0" w:after="0" w:line="276" w:lineRule="auto"/>
        <w:rPr>
          <w:sz w:val="20"/>
          <w:szCs w:val="20"/>
        </w:rPr>
      </w:pPr>
    </w:p>
    <w:p>
      <w:pPr>
        <w:spacing w:before="0" w:after="0"/>
        <w:rPr>
          <w:sz w:val="20"/>
          <w:szCs w:val="20"/>
        </w:rPr>
      </w:pP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Tender Number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 xml:space="preserve"> ETQA/2020/06</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Planned publication 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xml:space="preserve">: </w:t>
      </w:r>
      <w:r>
        <w:rPr>
          <w:rFonts w:ascii="Arial" w:eastAsia="Arial" w:hAnsi="Arial" w:cs="Arial"/>
          <w:sz w:val="20"/>
          <w:szCs w:val="20"/>
        </w:rPr>
        <w:t>07 February 2020</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Compulsory Briefing Session</w:t>
      </w:r>
      <w:r>
        <w:rPr>
          <w:rFonts w:ascii="Arial" w:eastAsia="Arial" w:hAnsi="Arial" w:cs="Arial"/>
          <w:sz w:val="20"/>
          <w:szCs w:val="20"/>
        </w:rPr>
        <w:t xml:space="preserve"> date</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14 February 2020 at 11H00</w:t>
      </w:r>
    </w:p>
    <w:p>
      <w:pPr>
        <w:spacing w:before="0" w:after="0" w:line="360" w:lineRule="auto"/>
        <w:rPr>
          <w:sz w:val="20"/>
          <w:szCs w:val="20"/>
        </w:rPr>
      </w:pPr>
    </w:p>
    <w:p>
      <w:pPr>
        <w:tabs>
          <w:tab w:val="left" w:pos="2553"/>
          <w:tab w:val="left" w:pos="3404"/>
        </w:tabs>
        <w:spacing w:before="0" w:after="0" w:line="360" w:lineRule="auto"/>
        <w:rPr>
          <w:sz w:val="20"/>
          <w:szCs w:val="20"/>
        </w:rPr>
      </w:pPr>
      <w:r>
        <w:rPr>
          <w:rFonts w:ascii="Arial" w:eastAsia="Arial" w:hAnsi="Arial" w:cs="Arial"/>
          <w:sz w:val="20"/>
          <w:szCs w:val="20"/>
        </w:rPr>
        <w:t xml:space="preserve">Submission closing date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0</w:t>
      </w:r>
      <w:r>
        <w:rPr>
          <w:rFonts w:ascii="Arial" w:eastAsia="Arial" w:hAnsi="Arial" w:cs="Arial"/>
          <w:sz w:val="20"/>
          <w:szCs w:val="20"/>
        </w:rPr>
        <w:t>3</w:t>
      </w:r>
      <w:r>
        <w:rPr>
          <w:rFonts w:ascii="Arial" w:eastAsia="Arial" w:hAnsi="Arial" w:cs="Arial"/>
          <w:sz w:val="20"/>
          <w:szCs w:val="20"/>
        </w:rPr>
        <w:t xml:space="preserve"> March 2020</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 xml:space="preserve">Submission closing time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11H00</w:t>
      </w:r>
    </w:p>
    <w:p>
      <w:pPr>
        <w:spacing w:before="0" w:after="0" w:line="360" w:lineRule="auto"/>
        <w:rPr>
          <w:sz w:val="20"/>
          <w:szCs w:val="20"/>
        </w:rPr>
      </w:pPr>
    </w:p>
    <w:p>
      <w:pPr>
        <w:sectPr>
          <w:headerReference w:type="default" r:id="rId5"/>
          <w:footerReference w:type="default" r:id="rId6"/>
          <w:type w:val="nextPage"/>
          <w:pgSz w:w="11906" w:h="16838"/>
          <w:pgMar w:top="1440" w:right="1531" w:bottom="1440" w:left="1531" w:header="708" w:footer="708"/>
          <w:cols w:space="708"/>
        </w:sectPr>
      </w:pPr>
    </w:p>
    <w:p>
      <w:pPr>
        <w:widowControl w:val="0"/>
        <w:tabs>
          <w:tab w:val="left" w:pos="720"/>
          <w:tab w:val="left" w:pos="1944"/>
          <w:tab w:val="left" w:pos="3384"/>
          <w:tab w:val="left" w:pos="3744"/>
          <w:tab w:val="left" w:pos="4644"/>
          <w:tab w:val="left" w:pos="5760"/>
        </w:tabs>
        <w:spacing w:before="0" w:after="0" w:line="21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Arial" w:eastAsia="Arial" w:hAnsi="Arial" w:cs="Arial"/>
          <w:b/>
          <w:bCs/>
          <w:sz w:val="20"/>
          <w:szCs w:val="20"/>
        </w:rPr>
        <w:t>SBD 1</w:t>
      </w:r>
    </w:p>
    <w:p>
      <w:pPr>
        <w:widowControl w:val="0"/>
        <w:tabs>
          <w:tab w:val="left" w:pos="720"/>
          <w:tab w:val="left" w:pos="1944"/>
          <w:tab w:val="left" w:pos="3384"/>
          <w:tab w:val="left" w:pos="3744"/>
          <w:tab w:val="left" w:pos="4644"/>
        </w:tabs>
        <w:spacing w:before="0" w:after="0" w:line="214"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pPr>
        <w:widowControl w:val="0"/>
        <w:spacing w:before="0" w:after="0" w:line="214" w:lineRule="auto"/>
        <w:jc w:val="center"/>
        <w:rPr>
          <w:sz w:val="20"/>
          <w:szCs w:val="20"/>
        </w:rPr>
      </w:pPr>
      <w:r>
        <w:rPr>
          <w:rFonts w:ascii="Arial" w:eastAsia="Arial" w:hAnsi="Arial" w:cs="Arial"/>
          <w:b/>
          <w:bCs/>
          <w:sz w:val="20"/>
          <w:szCs w:val="20"/>
        </w:rPr>
        <w:t>PART A</w:t>
      </w:r>
    </w:p>
    <w:p>
      <w:pPr>
        <w:widowControl w:val="0"/>
        <w:spacing w:before="0" w:after="0" w:line="214" w:lineRule="auto"/>
        <w:rPr>
          <w:sz w:val="20"/>
          <w:szCs w:val="20"/>
        </w:rPr>
      </w:pPr>
    </w:p>
    <w:p>
      <w:pPr>
        <w:widowControl w:val="0"/>
        <w:spacing w:before="0" w:after="0" w:line="214" w:lineRule="auto"/>
        <w:jc w:val="center"/>
        <w:rPr>
          <w:sz w:val="20"/>
          <w:szCs w:val="20"/>
        </w:rPr>
      </w:pPr>
      <w:r>
        <w:rPr>
          <w:rFonts w:ascii="Arial" w:eastAsia="Arial" w:hAnsi="Arial" w:cs="Arial"/>
          <w:b/>
          <w:bCs/>
          <w:sz w:val="20"/>
          <w:szCs w:val="20"/>
        </w:rPr>
        <w:t>INVITATION TO BID</w:t>
      </w:r>
    </w:p>
    <w:tbl>
      <w:tblPr>
        <w:tblW w:w="10827" w:type="dxa"/>
        <w:tblInd w:w="116" w:type="dxa"/>
        <w:tblCellMar>
          <w:top w:w="0" w:type="dxa"/>
          <w:left w:w="0" w:type="dxa"/>
          <w:bottom w:w="0" w:type="dxa"/>
          <w:right w:w="0" w:type="dxa"/>
        </w:tblCellMar>
      </w:tblPr>
      <w:tblGrid>
        <w:gridCol w:w="2920"/>
        <w:gridCol w:w="82"/>
        <w:gridCol w:w="46"/>
        <w:gridCol w:w="1546"/>
        <w:gridCol w:w="1093"/>
        <w:gridCol w:w="32"/>
        <w:gridCol w:w="75"/>
        <w:gridCol w:w="29"/>
        <w:gridCol w:w="29"/>
        <w:gridCol w:w="877"/>
        <w:gridCol w:w="512"/>
        <w:gridCol w:w="18"/>
        <w:gridCol w:w="18"/>
        <w:gridCol w:w="304"/>
        <w:gridCol w:w="304"/>
        <w:gridCol w:w="1070"/>
        <w:gridCol w:w="37"/>
        <w:gridCol w:w="57"/>
        <w:gridCol w:w="1779"/>
      </w:tblGrid>
      <w:tr>
        <w:tblPrEx>
          <w:tblW w:w="10827" w:type="dxa"/>
          <w:tblInd w:w="116" w:type="dxa"/>
          <w:tblCellMar>
            <w:top w:w="0" w:type="dxa"/>
            <w:left w:w="0" w:type="dxa"/>
            <w:bottom w:w="0" w:type="dxa"/>
            <w:right w:w="0" w:type="dxa"/>
          </w:tblCellMar>
        </w:tblPrEx>
        <w:trPr>
          <w:trHeight w:val="228"/>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YOU ARE HEREBY INVITED TO BID FOR REQUIREMENTS OF THE INSETA</w:t>
            </w:r>
          </w:p>
        </w:tc>
      </w:tr>
      <w:tr>
        <w:tblPrEx>
          <w:tblW w:w="10827" w:type="dxa"/>
          <w:tblInd w:w="116" w:type="dxa"/>
          <w:tblCellMar>
            <w:top w:w="0" w:type="dxa"/>
            <w:left w:w="0" w:type="dxa"/>
            <w:bottom w:w="0" w:type="dxa"/>
            <w:right w:w="0" w:type="dxa"/>
          </w:tblCellMar>
        </w:tblPrEx>
        <w:trPr>
          <w:trHeight w:val="228"/>
        </w:trPr>
        <w:tc>
          <w:tcPr>
            <w:tcW w:w="216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BID NUMBER:</w:t>
            </w:r>
          </w:p>
          <w:p>
            <w:pPr>
              <w:widowControl w:val="0"/>
              <w:spacing w:before="0" w:after="0"/>
              <w:jc w:val="both"/>
              <w:rPr>
                <w:b w:val="0"/>
                <w:bCs w:val="0"/>
                <w:i w:val="0"/>
                <w:iCs w:val="0"/>
                <w:smallCaps w:val="0"/>
                <w:color w:val="000000"/>
                <w:sz w:val="20"/>
                <w:szCs w:val="20"/>
              </w:rPr>
            </w:pPr>
          </w:p>
        </w:tc>
        <w:tc>
          <w:tcPr>
            <w:tcW w:w="2250"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ETQA/2020/06</w:t>
            </w:r>
          </w:p>
          <w:p>
            <w:pPr>
              <w:widowControl w:val="0"/>
              <w:spacing w:before="0" w:after="0"/>
              <w:jc w:val="both"/>
              <w:rPr>
                <w:b w:val="0"/>
                <w:bCs w:val="0"/>
                <w:i w:val="0"/>
                <w:iCs w:val="0"/>
                <w:smallCaps w:val="0"/>
                <w:color w:val="000000"/>
                <w:sz w:val="20"/>
                <w:szCs w:val="20"/>
              </w:rPr>
            </w:pPr>
          </w:p>
        </w:tc>
        <w:tc>
          <w:tcPr>
            <w:tcW w:w="1170"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CLOSING DATE:</w:t>
            </w:r>
          </w:p>
        </w:tc>
        <w:tc>
          <w:tcPr>
            <w:tcW w:w="2270" w:type="dxa"/>
            <w:gridSpan w:val="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0</w:t>
            </w:r>
            <w:r>
              <w:rPr>
                <w:rFonts w:ascii="Arial" w:eastAsia="Arial" w:hAnsi="Arial" w:cs="Arial"/>
                <w:b w:val="0"/>
                <w:bCs w:val="0"/>
                <w:i w:val="0"/>
                <w:iCs w:val="0"/>
                <w:smallCaps w:val="0"/>
                <w:color w:val="000000"/>
                <w:sz w:val="20"/>
                <w:szCs w:val="20"/>
              </w:rPr>
              <w:t>3</w:t>
            </w:r>
            <w:r>
              <w:rPr>
                <w:rFonts w:ascii="Arial" w:eastAsia="Arial" w:hAnsi="Arial" w:cs="Arial"/>
                <w:b w:val="0"/>
                <w:bCs w:val="0"/>
                <w:i w:val="0"/>
                <w:iCs w:val="0"/>
                <w:smallCaps w:val="0"/>
                <w:color w:val="000000"/>
                <w:sz w:val="20"/>
                <w:szCs w:val="20"/>
              </w:rPr>
              <w:t xml:space="preserve"> March 2020</w:t>
            </w:r>
          </w:p>
          <w:p>
            <w:pPr>
              <w:widowControl w:val="0"/>
              <w:spacing w:before="0" w:after="0"/>
              <w:jc w:val="both"/>
              <w:rPr>
                <w:b w:val="0"/>
                <w:bCs w:val="0"/>
                <w:i w:val="0"/>
                <w:iCs w:val="0"/>
                <w:smallCaps w:val="0"/>
                <w:color w:val="000000"/>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CLOSING TIME:</w:t>
            </w:r>
          </w:p>
        </w:tc>
        <w:tc>
          <w:tcPr>
            <w:tcW w:w="155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11H00</w:t>
            </w:r>
          </w:p>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28"/>
        </w:trPr>
        <w:tc>
          <w:tcPr>
            <w:tcW w:w="216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DESCRIPTION:</w:t>
            </w:r>
          </w:p>
          <w:p>
            <w:pPr>
              <w:widowControl w:val="0"/>
              <w:spacing w:before="0" w:after="0"/>
              <w:jc w:val="both"/>
              <w:rPr>
                <w:b w:val="0"/>
                <w:bCs w:val="0"/>
                <w:i w:val="0"/>
                <w:iCs w:val="0"/>
                <w:smallCaps w:val="0"/>
                <w:color w:val="000000"/>
                <w:sz w:val="20"/>
                <w:szCs w:val="20"/>
              </w:rPr>
            </w:pPr>
          </w:p>
          <w:p>
            <w:pPr>
              <w:widowControl w:val="0"/>
              <w:spacing w:before="0" w:after="0"/>
              <w:jc w:val="both"/>
              <w:rPr>
                <w:b w:val="0"/>
                <w:bCs w:val="0"/>
                <w:i w:val="0"/>
                <w:iCs w:val="0"/>
                <w:smallCaps w:val="0"/>
                <w:color w:val="000000"/>
                <w:sz w:val="20"/>
                <w:szCs w:val="20"/>
              </w:rPr>
            </w:pPr>
          </w:p>
        </w:tc>
        <w:tc>
          <w:tcPr>
            <w:tcW w:w="8667" w:type="dxa"/>
            <w:gridSpan w:val="1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spacing w:before="0" w:after="0" w:line="276" w:lineRule="auto"/>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Appointment of INSETA / QCTO Accredited Training Providers to implement a PILOT program for Final Integrated Summative Assessment (FISA) of Short-Term Insurance NQF Level 4 for employed or unemployed learners.</w:t>
            </w:r>
          </w:p>
        </w:tc>
      </w:tr>
      <w:tr>
        <w:tblPrEx>
          <w:tblW w:w="10827" w:type="dxa"/>
          <w:tblInd w:w="116" w:type="dxa"/>
          <w:tblCellMar>
            <w:top w:w="0" w:type="dxa"/>
            <w:left w:w="0" w:type="dxa"/>
            <w:bottom w:w="0" w:type="dxa"/>
            <w:right w:w="0" w:type="dxa"/>
          </w:tblCellMar>
        </w:tblPrEx>
        <w:trPr>
          <w:trHeight w:val="228"/>
        </w:trPr>
        <w:tc>
          <w:tcPr>
            <w:tcW w:w="216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VALIDITY PERIOD:</w:t>
            </w:r>
          </w:p>
        </w:tc>
        <w:tc>
          <w:tcPr>
            <w:tcW w:w="8667" w:type="dxa"/>
            <w:gridSpan w:val="1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Offer to be valid for 90 days from the closing date of bid</w:t>
            </w:r>
          </w:p>
        </w:tc>
      </w:tr>
      <w:tr>
        <w:tblPrEx>
          <w:tblW w:w="10827" w:type="dxa"/>
          <w:tblInd w:w="116" w:type="dxa"/>
          <w:tblCellMar>
            <w:top w:w="0" w:type="dxa"/>
            <w:left w:w="0" w:type="dxa"/>
            <w:bottom w:w="0" w:type="dxa"/>
            <w:right w:w="0" w:type="dxa"/>
          </w:tblCellMar>
        </w:tblPrEx>
        <w:trPr>
          <w:trHeight w:val="228"/>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THE SUCCESSFUL BIDDER WILL BE REQUIRED TO FILL IN AND SIGN A WRITTEN CONTRACT FORM (SBD7).</w:t>
            </w:r>
          </w:p>
        </w:tc>
      </w:tr>
      <w:tr>
        <w:tblPrEx>
          <w:tblW w:w="10827" w:type="dxa"/>
          <w:tblInd w:w="116" w:type="dxa"/>
          <w:tblCellMar>
            <w:top w:w="0" w:type="dxa"/>
            <w:left w:w="0" w:type="dxa"/>
            <w:bottom w:w="0" w:type="dxa"/>
            <w:right w:w="0" w:type="dxa"/>
          </w:tblCellMar>
        </w:tblPrEx>
        <w:trPr>
          <w:trHeight w:val="228"/>
        </w:trPr>
        <w:tc>
          <w:tcPr>
            <w:tcW w:w="6011" w:type="dxa"/>
            <w:gridSpan w:val="9"/>
            <w:tcBorders>
              <w:top w:val="single" w:sz="6" w:space="0" w:color="000000"/>
              <w:bottom w:val="single" w:sz="6" w:space="0" w:color="000000"/>
            </w:tcBorders>
            <w:noWrap w:val="0"/>
            <w:tcMar>
              <w:top w:w="8" w:type="dxa"/>
              <w:left w:w="113" w:type="dxa"/>
              <w:bottom w:w="8" w:type="dxa"/>
              <w:right w:w="113"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BID RESPONSE DOCUMENTS MAY BE DEPOSITED IN THE BID OX SITUATED AT </w:t>
            </w:r>
            <w:r>
              <w:rPr>
                <w:rFonts w:ascii="Arial" w:eastAsia="Arial" w:hAnsi="Arial" w:cs="Arial"/>
                <w:b w:val="0"/>
                <w:bCs w:val="0"/>
                <w:i/>
                <w:iCs/>
                <w:smallCaps w:val="0"/>
                <w:color w:val="000000"/>
                <w:sz w:val="20"/>
                <w:szCs w:val="20"/>
              </w:rPr>
              <w:t>(STREET ADDRESS)</w:t>
            </w:r>
          </w:p>
        </w:tc>
        <w:tc>
          <w:tcPr>
            <w:tcW w:w="691" w:type="dxa"/>
            <w:gridSpan w:val="2"/>
            <w:tcBorders>
              <w:top w:val="single" w:sz="6" w:space="0" w:color="000000"/>
            </w:tcBorders>
            <w:noWrap w:val="0"/>
            <w:tcMar>
              <w:top w:w="8" w:type="dxa"/>
              <w:left w:w="113" w:type="dxa"/>
              <w:bottom w:w="5" w:type="dxa"/>
              <w:right w:w="113" w:type="dxa"/>
            </w:tcMar>
            <w:vAlign w:val="center"/>
          </w:tcPr>
          <w:p>
            <w:pPr>
              <w:widowControl w:val="0"/>
              <w:spacing w:before="0" w:after="0"/>
              <w:jc w:val="center"/>
              <w:rPr>
                <w:b w:val="0"/>
                <w:bCs w:val="0"/>
                <w:i w:val="0"/>
                <w:iCs w:val="0"/>
                <w:smallCaps w:val="0"/>
                <w:color w:val="000000"/>
                <w:sz w:val="20"/>
                <w:szCs w:val="20"/>
              </w:rPr>
            </w:pPr>
          </w:p>
        </w:tc>
        <w:tc>
          <w:tcPr>
            <w:tcW w:w="4125" w:type="dxa"/>
            <w:gridSpan w:val="8"/>
            <w:tcBorders>
              <w:top w:val="single" w:sz="6" w:space="0" w:color="000000"/>
              <w:bottom w:val="single" w:sz="6" w:space="0" w:color="000000"/>
            </w:tcBorders>
            <w:noWrap w:val="0"/>
            <w:tcMar>
              <w:top w:w="8" w:type="dxa"/>
              <w:left w:w="113" w:type="dxa"/>
              <w:bottom w:w="8" w:type="dxa"/>
              <w:right w:w="113"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81"/>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INSETA</w:t>
            </w:r>
          </w:p>
        </w:tc>
      </w:tr>
      <w:tr>
        <w:tblPrEx>
          <w:tblW w:w="10827" w:type="dxa"/>
          <w:tblInd w:w="116" w:type="dxa"/>
          <w:tblCellMar>
            <w:top w:w="0" w:type="dxa"/>
            <w:left w:w="0" w:type="dxa"/>
            <w:bottom w:w="0" w:type="dxa"/>
            <w:right w:w="0" w:type="dxa"/>
          </w:tblCellMar>
        </w:tblPrEx>
        <w:trPr>
          <w:trHeight w:val="278"/>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Ground Floor</w:t>
            </w:r>
          </w:p>
        </w:tc>
      </w:tr>
      <w:tr>
        <w:tblPrEx>
          <w:tblW w:w="10827" w:type="dxa"/>
          <w:tblInd w:w="116" w:type="dxa"/>
          <w:tblCellMar>
            <w:top w:w="0" w:type="dxa"/>
            <w:left w:w="0" w:type="dxa"/>
            <w:bottom w:w="0" w:type="dxa"/>
            <w:right w:w="0" w:type="dxa"/>
          </w:tblCellMar>
        </w:tblPrEx>
        <w:trPr>
          <w:trHeight w:val="278"/>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37 Empire Road, Parktown, Johannesburg, 2193</w:t>
            </w:r>
          </w:p>
        </w:tc>
      </w:tr>
      <w:tr>
        <w:tblPrEx>
          <w:tblW w:w="10827" w:type="dxa"/>
          <w:tblInd w:w="116" w:type="dxa"/>
          <w:tblCellMar>
            <w:top w:w="0" w:type="dxa"/>
            <w:left w:w="0" w:type="dxa"/>
            <w:bottom w:w="0" w:type="dxa"/>
            <w:right w:w="0" w:type="dxa"/>
          </w:tblCellMar>
        </w:tblPrEx>
        <w:trPr>
          <w:trHeight w:val="228"/>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SUPPLIER INFORMATION</w:t>
            </w: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NAME OF BIDDER</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POSTAL ADDRESS</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STREET ADDRESS</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TELEPHONE NUMBER</w:t>
            </w:r>
          </w:p>
        </w:tc>
        <w:tc>
          <w:tcPr>
            <w:tcW w:w="1255"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CODE</w:t>
            </w:r>
          </w:p>
        </w:tc>
        <w:tc>
          <w:tcPr>
            <w:tcW w:w="185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1113" w:type="dxa"/>
            <w:gridSpan w:val="5"/>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NUMBER</w:t>
            </w:r>
          </w:p>
        </w:tc>
        <w:tc>
          <w:tcPr>
            <w:tcW w:w="2545"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CELLPHONE NUMBER</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FACSIMILE NUMBER</w:t>
            </w:r>
          </w:p>
        </w:tc>
        <w:tc>
          <w:tcPr>
            <w:tcW w:w="1255"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CODE</w:t>
            </w:r>
          </w:p>
        </w:tc>
        <w:tc>
          <w:tcPr>
            <w:tcW w:w="185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1113" w:type="dxa"/>
            <w:gridSpan w:val="5"/>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NUMBER</w:t>
            </w:r>
          </w:p>
        </w:tc>
        <w:tc>
          <w:tcPr>
            <w:tcW w:w="2545"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E-MAIL ADDRESS</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VAT REGISTRATION NUMBER</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1255"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TCS PIN:</w:t>
            </w:r>
          </w:p>
        </w:tc>
        <w:tc>
          <w:tcPr>
            <w:tcW w:w="1318"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571"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OR</w:t>
            </w:r>
          </w:p>
        </w:tc>
        <w:tc>
          <w:tcPr>
            <w:tcW w:w="1058"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CSD No:</w:t>
            </w:r>
          </w:p>
        </w:tc>
        <w:tc>
          <w:tcPr>
            <w:tcW w:w="2567"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B-BBEE STATUS LEVEL VERIFICATION CERTIFICATE</w:t>
            </w:r>
          </w:p>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[TICK APPLICABLE BOX]</w:t>
            </w:r>
          </w:p>
        </w:tc>
        <w:tc>
          <w:tcPr>
            <w:tcW w:w="2573" w:type="dxa"/>
            <w:gridSpan w:val="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bookmarkStart w:id="0" w:name="Check1"/>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0"/>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p>
          <w:p>
            <w:pPr>
              <w:widowControl w:val="0"/>
              <w:spacing w:before="0" w:after="0"/>
              <w:jc w:val="both"/>
              <w:rPr>
                <w:b w:val="0"/>
                <w:bCs w:val="0"/>
                <w:i w:val="0"/>
                <w:iCs w:val="0"/>
                <w:smallCaps w:val="0"/>
                <w:color w:val="000000"/>
                <w:sz w:val="20"/>
                <w:szCs w:val="20"/>
              </w:rPr>
            </w:pPr>
          </w:p>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bookmarkStart w:id="1" w:name="Check2"/>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1"/>
            <w:r>
              <w:rPr>
                <w:rFonts w:ascii="Arial" w:eastAsia="Arial" w:hAnsi="Arial" w:cs="Arial"/>
                <w:b w:val="0"/>
                <w:bCs w:val="0"/>
                <w:i w:val="0"/>
                <w:iCs w:val="0"/>
                <w:smallCaps w:val="0"/>
                <w:color w:val="000000"/>
                <w:sz w:val="20"/>
                <w:szCs w:val="20"/>
              </w:rPr>
              <w:t>No</w:t>
            </w:r>
          </w:p>
        </w:tc>
        <w:tc>
          <w:tcPr>
            <w:tcW w:w="1629"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B-BBEE STATUS LEVEL SWORN AFFIDAVIT</w:t>
            </w:r>
            <w:r>
              <w:rPr>
                <w:rFonts w:ascii="Arial" w:eastAsia="Arial" w:hAnsi="Arial" w:cs="Arial"/>
                <w:b w:val="0"/>
                <w:bCs w:val="0"/>
                <w:i w:val="0"/>
                <w:iCs w:val="0"/>
                <w:smallCaps w:val="0"/>
                <w:color w:val="000000"/>
                <w:sz w:val="20"/>
                <w:szCs w:val="20"/>
              </w:rPr>
              <w:t xml:space="preserve">  </w:t>
            </w:r>
          </w:p>
        </w:tc>
        <w:tc>
          <w:tcPr>
            <w:tcW w:w="2567"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Yes </w:t>
            </w:r>
          </w:p>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  </w:t>
            </w:r>
          </w:p>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IF YES, WHO WAS THE CERTIFICATE ISSUED BY? </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147" w:type="dxa"/>
            <w:gridSpan w:val="3"/>
            <w:vMerge w:val="restart"/>
            <w:tcBorders>
              <w:top w:val="single" w:sz="6" w:space="0" w:color="000000"/>
              <w:left w:val="single" w:sz="6" w:space="0" w:color="000000"/>
              <w:bottom w:val="single" w:sz="8" w:space="0" w:color="000000"/>
              <w:right w:val="single" w:sz="6" w:space="0" w:color="000000"/>
            </w:tcBorders>
            <w:noWrap w:val="0"/>
            <w:tcMar>
              <w:top w:w="8" w:type="dxa"/>
              <w:left w:w="108" w:type="dxa"/>
              <w:bottom w:w="10" w:type="dxa"/>
              <w:right w:w="108" w:type="dxa"/>
            </w:tcMar>
            <w:vAlign w:val="center"/>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AN ACCOUNTING OFFICER AS CONTEMPLATED IN THE CLOSE CORPORATION ACT (CCA) AND NAME THE APPLICABLE IN THE TICK BOX</w:t>
            </w:r>
          </w:p>
        </w:tc>
        <w:tc>
          <w:tcPr>
            <w:tcW w:w="773"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center"/>
            <w:hideMark/>
          </w:tcPr>
          <w:p>
            <w:pPr>
              <w:widowControl w:val="0"/>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AN ACCOUNTING OFFICER AS CONTEMPLATED IN THE CLOSE CORPORATION ACT (CCA)</w:t>
            </w:r>
          </w:p>
        </w:tc>
      </w:tr>
      <w:tr>
        <w:tblPrEx>
          <w:tblW w:w="10827" w:type="dxa"/>
          <w:tblInd w:w="116" w:type="dxa"/>
          <w:tblCellMar>
            <w:top w:w="0" w:type="dxa"/>
            <w:left w:w="0" w:type="dxa"/>
            <w:bottom w:w="0" w:type="dxa"/>
            <w:right w:w="0" w:type="dxa"/>
          </w:tblCellMar>
        </w:tblPrEx>
        <w:trPr>
          <w:trHeight w:val="298"/>
        </w:trPr>
        <w:tc>
          <w:tcPr>
            <w:gridSpan w:val="3"/>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tcW w:w="773"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center"/>
            <w:hideMark/>
          </w:tcPr>
          <w:p>
            <w:pPr>
              <w:widowControl w:val="0"/>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 VERIFICATION AGENCY ACCREDITED BY THE SOUTH AFRICAN ACCREDITATION SYSTEM (SANAS)</w:t>
            </w:r>
          </w:p>
        </w:tc>
      </w:tr>
      <w:tr>
        <w:tblPrEx>
          <w:tblW w:w="10827" w:type="dxa"/>
          <w:tblInd w:w="116" w:type="dxa"/>
          <w:tblCellMar>
            <w:top w:w="0" w:type="dxa"/>
            <w:left w:w="0" w:type="dxa"/>
            <w:bottom w:w="0" w:type="dxa"/>
            <w:right w:w="0" w:type="dxa"/>
          </w:tblCellMar>
        </w:tblPrEx>
        <w:trPr>
          <w:trHeight w:val="56"/>
        </w:trPr>
        <w:tc>
          <w:tcPr>
            <w:gridSpan w:val="3"/>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tcW w:w="773" w:type="dxa"/>
            <w:gridSpan w:val="2"/>
            <w:vMerge w:val="restart"/>
            <w:tcBorders>
              <w:top w:val="single" w:sz="6" w:space="0" w:color="000000"/>
              <w:left w:val="single" w:sz="6" w:space="0" w:color="000000"/>
              <w:bottom w:val="single" w:sz="8" w:space="0" w:color="000000"/>
              <w:right w:val="single" w:sz="6" w:space="0" w:color="000000"/>
            </w:tcBorders>
            <w:noWrap w:val="0"/>
            <w:tcMar>
              <w:top w:w="8" w:type="dxa"/>
              <w:left w:w="108" w:type="dxa"/>
              <w:bottom w:w="10" w:type="dxa"/>
              <w:right w:w="108" w:type="dxa"/>
            </w:tcMar>
            <w:vAlign w:val="center"/>
            <w:hideMark/>
          </w:tcPr>
          <w:p>
            <w:pPr>
              <w:widowControl w:val="0"/>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 REGISTERED AUDITOR</w:t>
            </w:r>
          </w:p>
        </w:tc>
      </w:tr>
      <w:tr>
        <w:tblPrEx>
          <w:tblW w:w="10827" w:type="dxa"/>
          <w:tblInd w:w="116" w:type="dxa"/>
          <w:tblCellMar>
            <w:top w:w="0" w:type="dxa"/>
            <w:left w:w="0" w:type="dxa"/>
            <w:bottom w:w="0" w:type="dxa"/>
            <w:right w:w="0" w:type="dxa"/>
          </w:tblCellMar>
        </w:tblPrEx>
        <w:trPr>
          <w:trHeight w:val="257"/>
        </w:trPr>
        <w:tc>
          <w:tcPr>
            <w:gridSpan w:val="3"/>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gridSpan w:val="2"/>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NAME:</w:t>
            </w:r>
          </w:p>
        </w:tc>
      </w:tr>
      <w:tr>
        <w:tblPrEx>
          <w:tblW w:w="10827" w:type="dxa"/>
          <w:tblInd w:w="116" w:type="dxa"/>
          <w:tblCellMar>
            <w:top w:w="0" w:type="dxa"/>
            <w:left w:w="0" w:type="dxa"/>
            <w:bottom w:w="0" w:type="dxa"/>
            <w:right w:w="0" w:type="dxa"/>
          </w:tblCellMar>
        </w:tblPrEx>
        <w:trPr>
          <w:trHeight w:val="242"/>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iCs/>
                <w:smallCaps w:val="0"/>
                <w:color w:val="000000"/>
                <w:sz w:val="20"/>
                <w:szCs w:val="20"/>
              </w:rPr>
              <w:t>[</w:t>
            </w:r>
            <w:r>
              <w:rPr>
                <w:rFonts w:ascii="Arial" w:eastAsia="Arial" w:hAnsi="Arial" w:cs="Arial"/>
                <w:b/>
                <w:bCs/>
                <w:i/>
                <w:iCs/>
                <w:smallCaps w:val="0"/>
                <w:color w:val="000000"/>
                <w:sz w:val="20"/>
                <w:szCs w:val="20"/>
              </w:rPr>
              <w:t>A B-BBEE STATUS LEVEL VERIFICATION CERTIFICATE/SWORN AFFIDAVIT(FOR EMEs&amp; QSEs) MUST BE SUBMITTED IN ORDER TO QUALIFY FOR PREFERENCE POINTS FOR B-BBEE]</w:t>
            </w:r>
          </w:p>
        </w:tc>
      </w:tr>
      <w:tr>
        <w:tblPrEx>
          <w:tblW w:w="10827" w:type="dxa"/>
          <w:tblInd w:w="116" w:type="dxa"/>
          <w:tblCellMar>
            <w:top w:w="0" w:type="dxa"/>
            <w:left w:w="0" w:type="dxa"/>
            <w:bottom w:w="0" w:type="dxa"/>
            <w:right w:w="0" w:type="dxa"/>
          </w:tblCellMar>
        </w:tblPrEx>
        <w:trPr>
          <w:trHeight w:val="1059"/>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ARE YOU THE ACCREDITED REPRESENTATIVE </w:t>
            </w:r>
            <w:r>
              <w:rPr>
                <w:rFonts w:ascii="Arial" w:eastAsia="Arial" w:hAnsi="Arial" w:cs="Arial"/>
                <w:b/>
                <w:bCs/>
                <w:i w:val="0"/>
                <w:iCs w:val="0"/>
                <w:smallCaps w:val="0"/>
                <w:color w:val="000000"/>
                <w:sz w:val="20"/>
                <w:szCs w:val="20"/>
              </w:rPr>
              <w:t>IN SOUTH AFRICA FOR THE GOODS /SERVICES /WORKS OFFERED?</w:t>
            </w:r>
          </w:p>
        </w:tc>
        <w:tc>
          <w:tcPr>
            <w:tcW w:w="2644" w:type="dxa"/>
            <w:gridSpan w:val="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No </w:t>
            </w:r>
          </w:p>
          <w:p>
            <w:pPr>
              <w:widowControl w:val="0"/>
              <w:spacing w:before="0" w:after="0"/>
              <w:rPr>
                <w:b w:val="0"/>
                <w:bCs w:val="0"/>
                <w:i w:val="0"/>
                <w:iCs w:val="0"/>
                <w:smallCaps w:val="0"/>
                <w:color w:val="000000"/>
                <w:sz w:val="20"/>
                <w:szCs w:val="20"/>
              </w:rPr>
            </w:pPr>
          </w:p>
          <w:p>
            <w:pPr>
              <w:widowControl w:val="0"/>
              <w:spacing w:before="0" w:after="0"/>
              <w:rPr>
                <w:b w:val="0"/>
                <w:bCs w:val="0"/>
                <w:i w:val="0"/>
                <w:iCs w:val="0"/>
                <w:smallCaps w:val="0"/>
                <w:color w:val="000000"/>
                <w:sz w:val="20"/>
                <w:szCs w:val="20"/>
              </w:rPr>
            </w:pPr>
          </w:p>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t>
            </w:r>
            <w:r>
              <w:rPr>
                <w:rFonts w:ascii="Arial" w:eastAsia="Arial" w:hAnsi="Arial" w:cs="Arial"/>
                <w:b w:val="0"/>
                <w:bCs w:val="0"/>
                <w:i w:val="0"/>
                <w:iCs w:val="0"/>
                <w:smallCaps w:val="0"/>
                <w:color w:val="000000"/>
                <w:sz w:val="20"/>
                <w:szCs w:val="20"/>
              </w:rPr>
              <w:t>IF YES ENCLOSE PROOF]</w:t>
            </w:r>
          </w:p>
          <w:p>
            <w:pPr>
              <w:widowControl w:val="0"/>
              <w:spacing w:before="0" w:after="0"/>
              <w:rPr>
                <w:b w:val="0"/>
                <w:bCs w:val="0"/>
                <w:i w:val="0"/>
                <w:iCs w:val="0"/>
                <w:smallCaps w:val="0"/>
                <w:color w:val="000000"/>
                <w:sz w:val="20"/>
                <w:szCs w:val="20"/>
              </w:rPr>
            </w:pPr>
          </w:p>
        </w:tc>
        <w:tc>
          <w:tcPr>
            <w:tcW w:w="2566" w:type="dxa"/>
            <w:gridSpan w:val="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keepNext/>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ARE YOU A FOREIGN BASED SUPPLIER FOR</w:t>
            </w:r>
            <w:r>
              <w:rPr>
                <w:rFonts w:ascii="Arial" w:eastAsia="Arial" w:hAnsi="Arial" w:cs="Arial"/>
                <w:b/>
                <w:bCs/>
                <w:i w:val="0"/>
                <w:iCs w:val="0"/>
                <w:smallCaps w:val="0"/>
                <w:color w:val="000000"/>
                <w:sz w:val="20"/>
                <w:szCs w:val="20"/>
              </w:rPr>
              <w:t xml:space="preserve"> THE GOODS /SERVICES /WORKS OFFERED?</w:t>
            </w:r>
            <w:r>
              <w:rPr>
                <w:rFonts w:ascii="Arial" w:eastAsia="Arial" w:hAnsi="Arial" w:cs="Arial"/>
                <w:b/>
                <w:bCs/>
                <w:i w:val="0"/>
                <w:iCs w:val="0"/>
                <w:smallCaps w:val="0"/>
                <w:color w:val="000000"/>
                <w:sz w:val="20"/>
                <w:szCs w:val="20"/>
              </w:rPr>
              <w:br/>
            </w:r>
          </w:p>
        </w:tc>
        <w:tc>
          <w:tcPr>
            <w:tcW w:w="155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Yes </w:t>
            </w:r>
            <w:r>
              <w:rPr>
                <w:rFonts w:ascii="Arial" w:eastAsia="Arial" w:hAnsi="Arial" w:cs="Arial"/>
                <w:b w:val="0"/>
                <w:bCs w:val="0"/>
                <w:i w:val="0"/>
                <w:iCs w:val="0"/>
                <w:smallCaps w:val="0"/>
                <w:color w:val="000000"/>
                <w:sz w:val="20"/>
                <w:szCs w:val="20"/>
              </w:rPr>
              <w:fldChar w:fldCharType="begin">
                <w:ffData>
                  <w:name w:val="Check2"/>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r>
              <w:rPr>
                <w:rFonts w:ascii="Arial" w:eastAsia="Arial" w:hAnsi="Arial" w:cs="Arial"/>
                <w:b w:val="0"/>
                <w:bCs w:val="0"/>
                <w:i w:val="0"/>
                <w:iCs w:val="0"/>
                <w:smallCaps w:val="0"/>
                <w:color w:val="000000"/>
                <w:sz w:val="20"/>
                <w:szCs w:val="20"/>
              </w:rPr>
              <w:br/>
            </w:r>
          </w:p>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t>
            </w:r>
            <w:r>
              <w:rPr>
                <w:rFonts w:ascii="Arial" w:eastAsia="Arial" w:hAnsi="Arial" w:cs="Arial"/>
                <w:b w:val="0"/>
                <w:bCs w:val="0"/>
                <w:i w:val="0"/>
                <w:iCs w:val="0"/>
                <w:smallCaps w:val="0"/>
                <w:color w:val="000000"/>
                <w:sz w:val="20"/>
                <w:szCs w:val="20"/>
              </w:rPr>
              <w:t>IF YES ANSWER PART B:3 BELOW ]</w:t>
            </w:r>
          </w:p>
          <w:p>
            <w:pPr>
              <w:widowControl w:val="0"/>
              <w:spacing w:before="0" w:after="0"/>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834"/>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SIGNATURE OF BIDDER</w:t>
            </w:r>
          </w:p>
        </w:tc>
        <w:tc>
          <w:tcPr>
            <w:tcW w:w="2644" w:type="dxa"/>
            <w:gridSpan w:val="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t>
            </w:r>
          </w:p>
        </w:tc>
        <w:tc>
          <w:tcPr>
            <w:tcW w:w="2566" w:type="dxa"/>
            <w:gridSpan w:val="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DATE</w:t>
            </w:r>
          </w:p>
        </w:tc>
        <w:tc>
          <w:tcPr>
            <w:tcW w:w="155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889"/>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CAPACITY UNDER WHICH THIS BID IS SIGNED (Attach proof of authority to sign this bid; e.g. resolution of directors, etc.)</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42"/>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TOTAL NUMBER OF ITEMS OFFERED</w:t>
            </w:r>
          </w:p>
        </w:tc>
        <w:tc>
          <w:tcPr>
            <w:tcW w:w="156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212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TOTAL BID PRICE (ALL INCLUSIVE)</w:t>
            </w:r>
          </w:p>
        </w:tc>
        <w:tc>
          <w:tcPr>
            <w:tcW w:w="3077" w:type="dxa"/>
            <w:gridSpan w:val="5"/>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04"/>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line="214"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ANY ENQUIRIES REGARDING THE BIDDING PROCEDURE MAY BE DIRECTED TO:</w:t>
            </w:r>
          </w:p>
          <w:p>
            <w:pPr>
              <w:widowControl w:val="0"/>
              <w:spacing w:before="0" w:after="0" w:line="214"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Contact Person:</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 xml:space="preserve">Ms </w:t>
            </w:r>
            <w:r>
              <w:rPr>
                <w:rFonts w:ascii="Arial" w:eastAsia="Arial" w:hAnsi="Arial" w:cs="Arial"/>
                <w:b/>
                <w:bCs/>
                <w:i w:val="0"/>
                <w:iCs w:val="0"/>
                <w:smallCaps w:val="0"/>
                <w:color w:val="000000"/>
                <w:sz w:val="20"/>
                <w:szCs w:val="20"/>
              </w:rPr>
              <w:t>Lindiwe Duma</w:t>
            </w:r>
          </w:p>
          <w:p>
            <w:pPr>
              <w:widowControl w:val="0"/>
              <w:spacing w:before="0" w:after="0" w:line="214"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Department:</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Supply Chain Management</w:t>
            </w:r>
          </w:p>
          <w:p>
            <w:pPr>
              <w:widowControl w:val="0"/>
              <w:spacing w:before="0" w:after="0" w:line="214" w:lineRule="auto"/>
              <w:rPr>
                <w:b w:val="0"/>
                <w:bCs w:val="0"/>
                <w:i w:val="0"/>
                <w:iCs w:val="0"/>
                <w:smallCaps w:val="0"/>
                <w:color w:val="000000"/>
                <w:sz w:val="22"/>
                <w:szCs w:val="22"/>
              </w:rPr>
            </w:pPr>
            <w:r>
              <w:rPr>
                <w:rFonts w:ascii="Arial" w:eastAsia="Arial" w:hAnsi="Arial" w:cs="Arial"/>
                <w:b/>
                <w:bCs/>
                <w:i w:val="0"/>
                <w:iCs w:val="0"/>
                <w:smallCaps w:val="0"/>
                <w:color w:val="000000"/>
                <w:sz w:val="20"/>
                <w:szCs w:val="20"/>
              </w:rPr>
              <w:t>E-mail address:</w:t>
            </w:r>
            <w:r>
              <w:rPr>
                <w:rFonts w:ascii="Arial" w:eastAsia="Arial" w:hAnsi="Arial" w:cs="Arial"/>
                <w:b/>
                <w:bCs/>
                <w:i w:val="0"/>
                <w:iCs w:val="0"/>
                <w:smallCaps w:val="0"/>
                <w:color w:val="000000"/>
                <w:sz w:val="20"/>
                <w:szCs w:val="20"/>
              </w:rPr>
              <w:t xml:space="preserve">   </w:t>
            </w:r>
            <w:hyperlink r:id="rId7" w:history="1">
              <w:r>
                <w:rPr>
                  <w:rFonts w:ascii="Arial" w:eastAsia="Arial" w:hAnsi="Arial" w:cs="Arial"/>
                  <w:b/>
                  <w:bCs/>
                  <w:i w:val="0"/>
                  <w:iCs w:val="0"/>
                  <w:smallCaps w:val="0"/>
                  <w:color w:val="0000FF"/>
                  <w:sz w:val="20"/>
                  <w:szCs w:val="20"/>
                  <w:u w:val="single" w:color="0000FF"/>
                </w:rPr>
                <w:t>Supplychain@inseta.org.za</w:t>
              </w:r>
            </w:hyperlink>
          </w:p>
        </w:tc>
      </w:tr>
    </w:tbl>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center"/>
        <w:rPr>
          <w:sz w:val="20"/>
          <w:szCs w:val="20"/>
        </w:rPr>
      </w:pPr>
      <w:r>
        <w:rPr>
          <w:rFonts w:ascii="Arial" w:eastAsia="Arial" w:hAnsi="Arial" w:cs="Arial"/>
          <w:b/>
          <w:bCs/>
          <w:sz w:val="20"/>
          <w:szCs w:val="20"/>
        </w:rPr>
        <w:t>PART B</w:t>
      </w:r>
    </w:p>
    <w:p>
      <w:pPr>
        <w:widowControl w:val="0"/>
        <w:spacing w:before="0" w:after="0" w:line="214" w:lineRule="auto"/>
        <w:jc w:val="center"/>
        <w:rPr>
          <w:sz w:val="20"/>
          <w:szCs w:val="20"/>
        </w:rPr>
      </w:pPr>
    </w:p>
    <w:p>
      <w:pPr>
        <w:widowControl w:val="0"/>
        <w:spacing w:before="0" w:after="0" w:line="214" w:lineRule="auto"/>
        <w:jc w:val="center"/>
        <w:rPr>
          <w:sz w:val="20"/>
          <w:szCs w:val="20"/>
        </w:rPr>
      </w:pPr>
      <w:r>
        <w:rPr>
          <w:rFonts w:ascii="Arial" w:eastAsia="Arial" w:hAnsi="Arial" w:cs="Arial"/>
          <w:b/>
          <w:bCs/>
          <w:sz w:val="20"/>
          <w:szCs w:val="20"/>
        </w:rPr>
        <w:t>TERMS AND CONDITIONS FOR BIDDING</w:t>
      </w:r>
    </w:p>
    <w:p>
      <w:pPr>
        <w:widowControl w:val="0"/>
        <w:tabs>
          <w:tab w:val="left" w:pos="720"/>
        </w:tabs>
        <w:spacing w:before="0" w:after="0" w:line="214" w:lineRule="auto"/>
        <w:rPr>
          <w:sz w:val="20"/>
          <w:szCs w:val="20"/>
        </w:rPr>
      </w:pPr>
      <w:r>
        <w:rPr>
          <w:sz w:val="20"/>
          <w:szCs w:val="20"/>
        </w:rPr>
        <w:tab/>
      </w:r>
    </w:p>
    <w:tbl>
      <w:tblPr>
        <w:tblW w:w="10260"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10230"/>
      </w:tblGrid>
      <w:tr>
        <w:tblPrEx>
          <w:tblW w:w="10260"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10260" w:type="dxa"/>
            <w:tcBorders>
              <w:bottom w:val="single" w:sz="6" w:space="0" w:color="000000"/>
            </w:tcBorders>
            <w:shd w:val="clear" w:color="auto" w:fill="DDD9C3"/>
            <w:noWrap w:val="0"/>
            <w:tcMar>
              <w:top w:w="8" w:type="dxa"/>
              <w:left w:w="108" w:type="dxa"/>
              <w:bottom w:w="8" w:type="dxa"/>
              <w:right w:w="108" w:type="dxa"/>
            </w:tcMar>
            <w:vAlign w:val="top"/>
            <w:hideMark/>
          </w:tcPr>
          <w:p>
            <w:pPr>
              <w:widowControl w:val="0"/>
              <w:numPr>
                <w:ilvl w:val="0"/>
                <w:numId w:val="1"/>
              </w:numPr>
              <w:tabs>
                <w:tab w:val="left" w:pos="409"/>
              </w:tabs>
              <w:spacing w:before="0" w:after="0" w:line="214" w:lineRule="auto"/>
              <w:ind w:left="1146" w:right="0" w:hanging="1146"/>
              <w:jc w:val="both"/>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BID SUBMISSION:</w:t>
            </w:r>
          </w:p>
        </w:tc>
      </w:tr>
      <w:tr>
        <w:tblPrEx>
          <w:tblW w:w="10260" w:type="dxa"/>
          <w:tblInd w:w="116" w:type="dxa"/>
          <w:tblCellMar>
            <w:top w:w="0" w:type="dxa"/>
            <w:left w:w="0" w:type="dxa"/>
            <w:bottom w:w="0" w:type="dxa"/>
            <w:right w:w="0" w:type="dxa"/>
          </w:tblCellMar>
        </w:tblPrEx>
        <w:trPr>
          <w:trHeight w:val="1212"/>
        </w:trPr>
        <w:tc>
          <w:tcPr>
            <w:tcW w:w="10260" w:type="dxa"/>
            <w:tcBorders>
              <w:top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1.1.</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BIDS MUST BE DELIVERED BY THE STIPULATED TIME TO THE CORRECT ADDRESS. LATE BIDS WILL NOT BE ACCEPTED FOR CONSIDERATION.</w:t>
            </w:r>
          </w:p>
          <w:p>
            <w:pPr>
              <w:widowControl w:val="0"/>
              <w:spacing w:before="0" w:after="0" w:line="214" w:lineRule="auto"/>
              <w:ind w:left="426" w:hanging="426"/>
              <w:jc w:val="both"/>
              <w:rPr>
                <w:b w:val="0"/>
                <w:bCs w:val="0"/>
                <w:i w:val="0"/>
                <w:iCs w:val="0"/>
                <w:smallCaps w:val="0"/>
                <w:color w:val="000000"/>
                <w:sz w:val="20"/>
                <w:szCs w:val="20"/>
              </w:rPr>
            </w:pPr>
          </w:p>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1.2.</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bCs/>
                <w:i w:val="0"/>
                <w:iCs w:val="0"/>
                <w:smallCaps w:val="0"/>
                <w:color w:val="000000"/>
                <w:sz w:val="20"/>
                <w:szCs w:val="20"/>
              </w:rPr>
              <w:t>ALL BIDS MUST BE SUBMITTED ON THE OFFICIAL FORMS PROVIDED–(NOT TO BE RE-TYPED) OR</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ONLINE</w:t>
            </w:r>
          </w:p>
          <w:p>
            <w:pPr>
              <w:spacing w:before="0" w:after="0" w:line="276" w:lineRule="auto"/>
              <w:ind w:left="720"/>
              <w:rPr>
                <w:b w:val="0"/>
                <w:bCs w:val="0"/>
                <w:i w:val="0"/>
                <w:iCs w:val="0"/>
                <w:smallCaps w:val="0"/>
                <w:color w:val="000000"/>
                <w:sz w:val="20"/>
                <w:szCs w:val="20"/>
              </w:rPr>
            </w:pPr>
          </w:p>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1.3.</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bCs/>
                <w:i w:val="0"/>
                <w:iCs w:val="0"/>
                <w:smallCaps w:val="0"/>
                <w:color w:val="000000"/>
                <w:sz w:val="20"/>
                <w:szCs w:val="20"/>
              </w:rPr>
              <w:t>BIDDERS MUST REGISTER ON THE CENTRAL SUPPLIER DATABASE (CSD) TO UPLOAD MANDATORY INFORMATION NAMELY:</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(BUSINESS REGISTRATION/ DIRECTORSHIP/ MEMBERSHIP/IDENTITY NUMBERS; TAX COMPLIANCE STATUS; AND BANKING INFORMATION FOR VERIFICATION PURPOSES). B-BBEE CERTIFICATE OR SWORN AFFIDAVIT FOR B-BBEE MUST BE SUBMITTED TO BIDDING INSTITUTION.</w:t>
            </w:r>
          </w:p>
          <w:p>
            <w:pPr>
              <w:spacing w:before="0" w:after="0" w:line="276" w:lineRule="auto"/>
              <w:ind w:left="720"/>
              <w:rPr>
                <w:b w:val="0"/>
                <w:bCs w:val="0"/>
                <w:i w:val="0"/>
                <w:iCs w:val="0"/>
                <w:smallCaps w:val="0"/>
                <w:color w:val="000000"/>
                <w:sz w:val="20"/>
                <w:szCs w:val="20"/>
              </w:rPr>
            </w:pPr>
          </w:p>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1.4.</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bCs/>
                <w:i w:val="0"/>
                <w:iCs w:val="0"/>
                <w:smallCaps w:val="0"/>
                <w:color w:val="000000"/>
                <w:sz w:val="20"/>
                <w:szCs w:val="20"/>
              </w:rPr>
              <w:t>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w:t>
            </w:r>
            <w:r>
              <w:rPr>
                <w:rFonts w:ascii="Arial" w:eastAsia="Arial" w:hAnsi="Arial" w:cs="Arial"/>
                <w:b/>
                <w:bCs/>
                <w:i w:val="0"/>
                <w:iCs w:val="0"/>
                <w:smallCaps w:val="0"/>
                <w:color w:val="000000"/>
                <w:sz w:val="20"/>
                <w:szCs w:val="20"/>
              </w:rPr>
              <w:t xml:space="preserve">             </w:t>
            </w:r>
          </w:p>
          <w:p>
            <w:pPr>
              <w:widowControl w:val="0"/>
              <w:spacing w:before="0" w:after="0" w:line="214" w:lineRule="auto"/>
              <w:ind w:left="426" w:hanging="426"/>
              <w:jc w:val="both"/>
              <w:rPr>
                <w:b w:val="0"/>
                <w:bCs w:val="0"/>
                <w:i w:val="0"/>
                <w:iCs w:val="0"/>
                <w:smallCaps w:val="0"/>
                <w:color w:val="000000"/>
                <w:sz w:val="20"/>
                <w:szCs w:val="20"/>
              </w:rPr>
            </w:pPr>
          </w:p>
          <w:p>
            <w:pPr>
              <w:widowControl w:val="0"/>
              <w:spacing w:before="0" w:after="0" w:line="214" w:lineRule="auto"/>
              <w:ind w:left="426" w:hanging="426"/>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1.5.</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THIS BID IS SUBJECT TO THE PREFERENTIAL PROCUREMENT POLICY FRAMEWORK ACT 2000 AND THE PREFERENTIAL PROCUREMENT REGULATIONS, 2017, THE GENERAL CONDITIONS OF CONTRACT (GCC) AND, IF APPLICABLE, ANY OTHER LEGISLATION OR SPECIAL CONDITIONS OF CONTRACT.</w:t>
            </w:r>
          </w:p>
          <w:p>
            <w:pPr>
              <w:widowControl w:val="0"/>
              <w:spacing w:before="0" w:after="0" w:line="214" w:lineRule="auto"/>
              <w:ind w:left="426"/>
              <w:jc w:val="both"/>
              <w:rPr>
                <w:b w:val="0"/>
                <w:bCs w:val="0"/>
                <w:i w:val="0"/>
                <w:iCs w:val="0"/>
                <w:smallCaps w:val="0"/>
                <w:color w:val="000000"/>
                <w:sz w:val="20"/>
                <w:szCs w:val="20"/>
              </w:rPr>
            </w:pPr>
          </w:p>
        </w:tc>
      </w:tr>
      <w:tr>
        <w:tblPrEx>
          <w:tblW w:w="10260" w:type="dxa"/>
          <w:tblInd w:w="116" w:type="dxa"/>
          <w:tblCellMar>
            <w:top w:w="0" w:type="dxa"/>
            <w:left w:w="0" w:type="dxa"/>
            <w:bottom w:w="0" w:type="dxa"/>
            <w:right w:w="0" w:type="dxa"/>
          </w:tblCellMar>
        </w:tblPrEx>
        <w:tc>
          <w:tcPr>
            <w:tcW w:w="10260" w:type="dxa"/>
            <w:tcBorders>
              <w:top w:val="single" w:sz="6" w:space="0" w:color="000000"/>
              <w:bottom w:val="single" w:sz="6" w:space="0" w:color="000000"/>
            </w:tcBorders>
            <w:shd w:val="clear" w:color="auto" w:fill="DDD9C3"/>
            <w:noWrap w:val="0"/>
            <w:tcMar>
              <w:top w:w="8" w:type="dxa"/>
              <w:left w:w="108" w:type="dxa"/>
              <w:bottom w:w="8" w:type="dxa"/>
              <w:right w:w="108" w:type="dxa"/>
            </w:tcMar>
            <w:vAlign w:val="top"/>
            <w:hideMark/>
          </w:tcPr>
          <w:p>
            <w:pPr>
              <w:widowControl w:val="0"/>
              <w:numPr>
                <w:ilvl w:val="0"/>
                <w:numId w:val="2"/>
              </w:numPr>
              <w:tabs>
                <w:tab w:val="left" w:pos="409"/>
              </w:tabs>
              <w:spacing w:before="0" w:after="0" w:line="214" w:lineRule="auto"/>
              <w:ind w:left="1146" w:right="0" w:hanging="1146"/>
              <w:jc w:val="both"/>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TAX COMPLIANCE REQUIREMENTS</w:t>
            </w:r>
          </w:p>
        </w:tc>
      </w:tr>
      <w:tr>
        <w:tblPrEx>
          <w:tblW w:w="10260" w:type="dxa"/>
          <w:tblInd w:w="116" w:type="dxa"/>
          <w:tblCellMar>
            <w:top w:w="0" w:type="dxa"/>
            <w:left w:w="0" w:type="dxa"/>
            <w:bottom w:w="0" w:type="dxa"/>
            <w:right w:w="0" w:type="dxa"/>
          </w:tblCellMar>
        </w:tblPrEx>
        <w:tc>
          <w:tcPr>
            <w:tcW w:w="10260" w:type="dxa"/>
            <w:tcBorders>
              <w:top w:val="single" w:sz="6" w:space="0" w:color="000000"/>
              <w:bottom w:val="single" w:sz="6" w:space="0" w:color="000000"/>
            </w:tcBorders>
            <w:shd w:val="clear" w:color="auto" w:fill="FFFFFF"/>
            <w:noWrap w:val="0"/>
            <w:tcMar>
              <w:top w:w="8" w:type="dxa"/>
              <w:left w:w="108" w:type="dxa"/>
              <w:bottom w:w="8" w:type="dxa"/>
              <w:right w:w="108" w:type="dxa"/>
            </w:tcMar>
            <w:vAlign w:val="top"/>
            <w:hideMark/>
          </w:tcPr>
          <w:p>
            <w:pPr>
              <w:widowControl w:val="0"/>
              <w:spacing w:before="0" w:after="120"/>
              <w:ind w:left="567" w:hanging="567"/>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2.1</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BIDDERS MUST ENSURE COMPLIANCE WITH THEIR TAX OBLIGATIONS. </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2.2</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BIDDERS ARE REQUIRED TO </w:t>
            </w:r>
            <w:r>
              <w:rPr>
                <w:rFonts w:ascii="Arial" w:eastAsia="Arial" w:hAnsi="Arial" w:cs="Arial"/>
                <w:b/>
                <w:bCs/>
                <w:i w:val="0"/>
                <w:iCs w:val="0"/>
                <w:smallCaps w:val="0"/>
                <w:color w:val="000000"/>
                <w:sz w:val="20"/>
                <w:szCs w:val="20"/>
              </w:rPr>
              <w:t>SUBMIT THEIR UNIQUE PERSONAL IDENTIFICATION NUMBER (PIN)</w:t>
            </w:r>
            <w:r>
              <w:rPr>
                <w:rFonts w:ascii="Arial" w:eastAsia="Arial" w:hAnsi="Arial" w:cs="Arial"/>
                <w:b w:val="0"/>
                <w:bCs w:val="0"/>
                <w:i w:val="0"/>
                <w:iCs w:val="0"/>
                <w:smallCaps w:val="0"/>
                <w:color w:val="000000"/>
                <w:sz w:val="20"/>
                <w:szCs w:val="20"/>
              </w:rPr>
              <w:t xml:space="preserve"> ISSUED BY SARS TO ENABLE</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THE ORGAN OF STATE TO VIEW THE TAXPAYER’S PROFILE AND TAX STATUS.</w:t>
            </w:r>
          </w:p>
          <w:p>
            <w:pPr>
              <w:widowControl w:val="0"/>
              <w:spacing w:before="0" w:after="120"/>
              <w:ind w:left="426" w:hanging="426"/>
              <w:jc w:val="both"/>
              <w:rPr>
                <w:b w:val="0"/>
                <w:bCs w:val="0"/>
                <w:i w:val="0"/>
                <w:iCs w:val="0"/>
                <w:smallCaps w:val="0"/>
                <w:color w:val="000000"/>
                <w:sz w:val="22"/>
                <w:szCs w:val="22"/>
              </w:rPr>
            </w:pPr>
            <w:r>
              <w:rPr>
                <w:rFonts w:ascii="Arial" w:eastAsia="Arial" w:hAnsi="Arial" w:cs="Arial"/>
                <w:b w:val="0"/>
                <w:bCs w:val="0"/>
                <w:i w:val="0"/>
                <w:iCs w:val="0"/>
                <w:smallCaps w:val="0"/>
                <w:color w:val="000000"/>
                <w:sz w:val="20"/>
                <w:szCs w:val="20"/>
              </w:rPr>
              <w:t>2.3</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APPLICATION FOR TAX COMPLIANCE STATUS (TCS) OR PIN MAY ALSO BE MADE VIA E-FILING. IN ORDER TO USE THIS PROVISION, TAXPAYERS WILL NEED TO REGISTER WITH SARS AS E-FILERS THROUGH THE WEBSITE </w:t>
            </w:r>
            <w:hyperlink r:id="rId8" w:history="1">
              <w:r>
                <w:rPr>
                  <w:rFonts w:ascii="Arial" w:eastAsia="Arial" w:hAnsi="Arial" w:cs="Arial"/>
                  <w:b w:val="0"/>
                  <w:bCs w:val="0"/>
                  <w:i w:val="0"/>
                  <w:iCs w:val="0"/>
                  <w:smallCaps w:val="0"/>
                  <w:color w:val="000000"/>
                  <w:sz w:val="20"/>
                  <w:szCs w:val="20"/>
                </w:rPr>
                <w:t>WWW.SARS.GOV.ZA</w:t>
              </w:r>
            </w:hyperlink>
            <w:r>
              <w:rPr>
                <w:rFonts w:ascii="Arial" w:eastAsia="Arial" w:hAnsi="Arial" w:cs="Arial"/>
                <w:b w:val="0"/>
                <w:bCs w:val="0"/>
                <w:i w:val="0"/>
                <w:iCs w:val="0"/>
                <w:smallCaps w:val="0"/>
                <w:color w:val="000000"/>
                <w:sz w:val="20"/>
                <w:szCs w:val="20"/>
              </w:rPr>
              <w:t>.</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2.4</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BIDDERS MAY ALSO </w:t>
            </w:r>
            <w:r>
              <w:rPr>
                <w:rFonts w:ascii="Arial" w:eastAsia="Arial" w:hAnsi="Arial" w:cs="Arial"/>
                <w:b/>
                <w:bCs/>
                <w:i w:val="0"/>
                <w:iCs w:val="0"/>
                <w:smallCaps w:val="0"/>
                <w:color w:val="000000"/>
                <w:sz w:val="20"/>
                <w:szCs w:val="20"/>
              </w:rPr>
              <w:t>SUBMIT A PRINTED TCS TOGETHER WITH THE BID</w:t>
            </w:r>
            <w:r>
              <w:rPr>
                <w:rFonts w:ascii="Arial" w:eastAsia="Arial" w:hAnsi="Arial" w:cs="Arial"/>
                <w:b w:val="0"/>
                <w:bCs w:val="0"/>
                <w:i w:val="0"/>
                <w:iCs w:val="0"/>
                <w:smallCaps w:val="0"/>
                <w:color w:val="000000"/>
                <w:sz w:val="20"/>
                <w:szCs w:val="20"/>
              </w:rPr>
              <w:t xml:space="preserve">. </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2.5</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IN BIDS WHERE CONSORTIA / JOINT VENTURES / SUB-CONTRACTORS ARE INVOLVED, </w:t>
            </w:r>
            <w:r>
              <w:rPr>
                <w:rFonts w:ascii="Arial" w:eastAsia="Arial" w:hAnsi="Arial" w:cs="Arial"/>
                <w:b/>
                <w:bCs/>
                <w:i w:val="0"/>
                <w:iCs w:val="0"/>
                <w:smallCaps w:val="0"/>
                <w:color w:val="000000"/>
                <w:sz w:val="20"/>
                <w:szCs w:val="20"/>
              </w:rPr>
              <w:t>EACH PARTY MUST SUBMIT A SEPARATE PROOF OF</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TCS / PIN / CSD NUMBER.</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2.6</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WHERE NO TCS IS AVAILABLE BUT THE BIDDER IS REGISTERED ON THE CENTRAL SUPPLIER DATABASE (CSD), A CSD NUMBER MUST BE PROVIDED. </w:t>
            </w:r>
          </w:p>
        </w:tc>
      </w:tr>
      <w:tr>
        <w:tblPrEx>
          <w:tblW w:w="10260" w:type="dxa"/>
          <w:tblInd w:w="116" w:type="dxa"/>
          <w:tblCellMar>
            <w:top w:w="0" w:type="dxa"/>
            <w:left w:w="0" w:type="dxa"/>
            <w:bottom w:w="0" w:type="dxa"/>
            <w:right w:w="0" w:type="dxa"/>
          </w:tblCellMar>
        </w:tblPrEx>
        <w:trPr>
          <w:trHeight w:val="296"/>
        </w:trPr>
        <w:tc>
          <w:tcPr>
            <w:tcW w:w="10260" w:type="dxa"/>
            <w:tcBorders>
              <w:top w:val="single" w:sz="6" w:space="0" w:color="000000"/>
              <w:bottom w:val="single" w:sz="6" w:space="0" w:color="000000"/>
            </w:tcBorders>
            <w:shd w:val="clear" w:color="auto" w:fill="DDD9C3"/>
            <w:noWrap w:val="0"/>
            <w:tcMar>
              <w:top w:w="8" w:type="dxa"/>
              <w:left w:w="108" w:type="dxa"/>
              <w:bottom w:w="8" w:type="dxa"/>
              <w:right w:w="108" w:type="dxa"/>
            </w:tcMar>
            <w:vAlign w:val="top"/>
            <w:hideMark/>
          </w:tcPr>
          <w:p>
            <w:pPr>
              <w:widowControl w:val="0"/>
              <w:numPr>
                <w:ilvl w:val="0"/>
                <w:numId w:val="3"/>
              </w:numPr>
              <w:tabs>
                <w:tab w:val="left" w:pos="409"/>
              </w:tabs>
              <w:spacing w:before="0" w:after="0" w:line="214" w:lineRule="auto"/>
              <w:ind w:left="1146" w:right="0" w:hanging="1146"/>
              <w:jc w:val="both"/>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QUESTIONNAIRE TO BIDDING FOREIGN SUPPLIERS</w:t>
            </w:r>
          </w:p>
        </w:tc>
      </w:tr>
      <w:tr>
        <w:tblPrEx>
          <w:tblW w:w="10260" w:type="dxa"/>
          <w:tblInd w:w="116" w:type="dxa"/>
          <w:tblCellMar>
            <w:top w:w="0" w:type="dxa"/>
            <w:left w:w="0" w:type="dxa"/>
            <w:bottom w:w="0" w:type="dxa"/>
            <w:right w:w="0" w:type="dxa"/>
          </w:tblCellMar>
        </w:tblPrEx>
        <w:tc>
          <w:tcPr>
            <w:tcW w:w="10260" w:type="dxa"/>
            <w:tcBorders>
              <w:top w:val="single" w:sz="6" w:space="0" w:color="000000"/>
            </w:tcBorders>
            <w:shd w:val="clear" w:color="auto" w:fill="FFFFFF"/>
            <w:noWrap w:val="0"/>
            <w:tcMar>
              <w:top w:w="8" w:type="dxa"/>
              <w:left w:w="108" w:type="dxa"/>
              <w:bottom w:w="8" w:type="dxa"/>
              <w:right w:w="108" w:type="dxa"/>
            </w:tcMar>
            <w:vAlign w:val="top"/>
            <w:hideMark/>
          </w:tcPr>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3.1.</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IS THE BIDDER A RESIDENT OF THE REPUBLIC OF SOUTH AFRICA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3.2.</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DOES THE BIDDER HAVE A BRANCH IN THE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3.3.</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DOES THE BIDDER HAVE A PERMANENT ESTABLISHMENT IN THE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3.4.</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DOES THE BIDDER HAVE ANY SOURCE OF INCOME IN THE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0" w:after="0" w:line="214" w:lineRule="auto"/>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IF THE ANSWER IS “NO” TO ALL OF THE ABOVE, THEN, IT IS NOT A REQUIREMENT TO OBTAIN A TAX COMPLIANCE STATUS / TAX COMPLIANCE SYSTEM PIN CODE FROM THE SOUTH AFRICAN REVENUE SERVICE (SARS) AND IF NOT REGISTER AS PER 2.3 ABOVE.</w:t>
            </w:r>
          </w:p>
          <w:p>
            <w:pPr>
              <w:widowControl w:val="0"/>
              <w:spacing w:before="0" w:after="0" w:line="214" w:lineRule="auto"/>
              <w:jc w:val="both"/>
              <w:rPr>
                <w:b w:val="0"/>
                <w:bCs w:val="0"/>
                <w:i w:val="0"/>
                <w:iCs w:val="0"/>
                <w:smallCaps w:val="0"/>
                <w:color w:val="000000"/>
                <w:sz w:val="20"/>
                <w:szCs w:val="20"/>
              </w:rPr>
            </w:pPr>
          </w:p>
        </w:tc>
      </w:tr>
    </w:tbl>
    <w:p>
      <w:pPr>
        <w:widowControl w:val="0"/>
        <w:spacing w:before="0" w:after="0"/>
        <w:rPr>
          <w:sz w:val="20"/>
          <w:szCs w:val="20"/>
        </w:rPr>
      </w:pPr>
      <w:r>
        <w:rPr>
          <w:rFonts w:ascii="Arial" w:eastAsia="Arial" w:hAnsi="Arial" w:cs="Arial"/>
          <w:b/>
          <w:bCs/>
          <w:sz w:val="20"/>
          <w:szCs w:val="20"/>
        </w:rPr>
        <w:t>NB: FAILURE TO PROVIDE ANY OF THE ABOVE PARTICULARS MAY RENDER THE BID INVALID</w:t>
      </w:r>
      <w:r>
        <w:rPr>
          <w:rFonts w:ascii="Arial" w:eastAsia="Arial" w:hAnsi="Arial" w:cs="Arial"/>
          <w:sz w:val="20"/>
          <w:szCs w:val="20"/>
        </w:rPr>
        <w:t>.</w:t>
      </w:r>
    </w:p>
    <w:p>
      <w:pPr>
        <w:widowControl w:val="0"/>
        <w:spacing w:before="0" w:after="0" w:line="216" w:lineRule="auto"/>
        <w:jc w:val="both"/>
        <w:rPr>
          <w:sz w:val="20"/>
          <w:szCs w:val="20"/>
        </w:rPr>
      </w:pPr>
    </w:p>
    <w:p>
      <w:pPr>
        <w:spacing w:before="0" w:after="0"/>
        <w:rPr>
          <w:sz w:val="20"/>
          <w:szCs w:val="20"/>
        </w:rPr>
      </w:pPr>
      <w:r>
        <w:rPr>
          <w:sz w:val="20"/>
          <w:szCs w:val="20"/>
        </w:rPr>
        <w:tab/>
      </w:r>
      <w:r>
        <w:rPr>
          <w:sz w:val="20"/>
          <w:szCs w:val="20"/>
        </w:rPr>
        <w:tab/>
      </w: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pPr>
      <w:r>
        <w:rPr>
          <w:rFonts w:ascii="Arial" w:eastAsia="Arial" w:hAnsi="Arial" w:cs="Arial"/>
          <w:b/>
          <w:bCs/>
        </w:rPr>
        <w:t>SUBMISSION CHECKLIST</w:t>
      </w:r>
    </w:p>
    <w:p>
      <w:pPr>
        <w:spacing w:before="0" w:after="0"/>
        <w:rPr>
          <w:sz w:val="20"/>
          <w:szCs w:val="20"/>
        </w:rPr>
      </w:pPr>
    </w:p>
    <w:p>
      <w:pPr>
        <w:spacing w:before="0" w:after="0"/>
        <w:rPr>
          <w:sz w:val="20"/>
          <w:szCs w:val="20"/>
        </w:rPr>
      </w:pPr>
    </w:p>
    <w:p>
      <w:pPr>
        <w:spacing w:before="0" w:after="0"/>
        <w:rPr>
          <w:sz w:val="20"/>
          <w:szCs w:val="20"/>
        </w:rPr>
      </w:pPr>
      <w:r>
        <w:rPr>
          <w:rFonts w:ascii="Arial" w:eastAsia="Arial" w:hAnsi="Arial" w:cs="Arial"/>
          <w:sz w:val="20"/>
          <w:szCs w:val="20"/>
        </w:rPr>
        <w:t xml:space="preserve">  </w:t>
      </w:r>
      <w:r>
        <w:rPr>
          <w:rFonts w:ascii="Arial" w:eastAsia="Arial" w:hAnsi="Arial" w:cs="Arial"/>
          <w:sz w:val="20"/>
          <w:szCs w:val="20"/>
        </w:rPr>
        <w:t>Bidders are required to complete the following checklist in order to ensure that their bid pack covers all required</w:t>
      </w:r>
      <w:r>
        <w:rPr>
          <w:rFonts w:ascii="Arial" w:eastAsia="Arial" w:hAnsi="Arial" w:cs="Arial"/>
          <w:sz w:val="20"/>
          <w:szCs w:val="20"/>
        </w:rPr>
        <w:t xml:space="preserve">   </w:t>
      </w:r>
      <w:r>
        <w:rPr>
          <w:rFonts w:ascii="Arial" w:eastAsia="Arial" w:hAnsi="Arial" w:cs="Arial"/>
          <w:sz w:val="20"/>
          <w:szCs w:val="20"/>
        </w:rPr>
        <w:t>documentation:</w:t>
      </w:r>
    </w:p>
    <w:p>
      <w:pPr>
        <w:spacing w:before="0" w:after="0"/>
        <w:rPr>
          <w:sz w:val="20"/>
          <w:szCs w:val="20"/>
        </w:rPr>
      </w:pPr>
    </w:p>
    <w:tbl>
      <w:tblPr>
        <w:tblW w:w="9758" w:type="dxa"/>
        <w:tblInd w:w="366" w:type="dxa"/>
        <w:tblBorders>
          <w:top w:val="single" w:sz="6" w:space="0" w:color="999999"/>
          <w:left w:val="single" w:sz="6" w:space="0" w:color="999999"/>
          <w:bottom w:val="single" w:sz="6" w:space="0" w:color="999999"/>
          <w:right w:val="single" w:sz="6" w:space="0" w:color="999999"/>
        </w:tblBorders>
        <w:tblCellMar>
          <w:top w:w="0" w:type="dxa"/>
          <w:left w:w="0" w:type="dxa"/>
          <w:bottom w:w="0" w:type="dxa"/>
          <w:right w:w="0" w:type="dxa"/>
        </w:tblCellMar>
      </w:tblPr>
      <w:tblGrid>
        <w:gridCol w:w="6987"/>
        <w:gridCol w:w="2741"/>
      </w:tblGrid>
      <w:tr>
        <w:tblPrEx>
          <w:tblW w:w="9758" w:type="dxa"/>
          <w:tblInd w:w="366" w:type="dxa"/>
          <w:tblBorders>
            <w:top w:val="single" w:sz="6" w:space="0" w:color="999999"/>
            <w:left w:val="single" w:sz="6" w:space="0" w:color="999999"/>
            <w:bottom w:val="single" w:sz="6" w:space="0" w:color="999999"/>
            <w:right w:val="single" w:sz="6" w:space="0" w:color="999999"/>
          </w:tblBorders>
          <w:tblCellMar>
            <w:top w:w="0" w:type="dxa"/>
            <w:left w:w="0" w:type="dxa"/>
            <w:bottom w:w="0" w:type="dxa"/>
            <w:right w:w="0" w:type="dxa"/>
          </w:tblCellMar>
        </w:tblPrEx>
        <w:tc>
          <w:tcPr>
            <w:tcW w:w="7114" w:type="dxa"/>
            <w:tcBorders>
              <w:right w:val="single" w:sz="6" w:space="0" w:color="999999"/>
            </w:tcBorders>
            <w:shd w:val="clear" w:color="auto" w:fill="000000"/>
            <w:noWrap w:val="0"/>
            <w:tcMar>
              <w:top w:w="8" w:type="dxa"/>
              <w:left w:w="108" w:type="dxa"/>
              <w:bottom w:w="5"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FFFFFF"/>
                <w:sz w:val="20"/>
                <w:szCs w:val="20"/>
              </w:rPr>
              <w:t>BID SUBMISSION CHECKLIST</w:t>
            </w:r>
          </w:p>
        </w:tc>
        <w:tc>
          <w:tcPr>
            <w:tcW w:w="2644" w:type="dxa"/>
            <w:tcBorders>
              <w:left w:val="single" w:sz="6" w:space="0" w:color="999999"/>
            </w:tcBorders>
            <w:shd w:val="clear" w:color="auto" w:fill="000000"/>
            <w:noWrap w:val="0"/>
            <w:tcMar>
              <w:top w:w="8" w:type="dxa"/>
              <w:left w:w="108" w:type="dxa"/>
              <w:bottom w:w="5"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FFFFFF"/>
                <w:sz w:val="20"/>
                <w:szCs w:val="20"/>
              </w:rPr>
              <w:t>Tick if submitted</w:t>
            </w: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bottom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1:</w:t>
            </w:r>
          </w:p>
          <w:p>
            <w:pPr>
              <w:numPr>
                <w:ilvl w:val="0"/>
                <w:numId w:val="4"/>
              </w:numPr>
              <w:pBdr>
                <w:left w:val="none" w:sz="0" w:space="8" w:color="auto"/>
              </w:pBdr>
              <w:spacing w:before="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Completed &amp; signed SBD forms</w:t>
            </w:r>
          </w:p>
          <w:p>
            <w:pPr>
              <w:numPr>
                <w:ilvl w:val="0"/>
                <w:numId w:val="4"/>
              </w:numPr>
              <w:pBdr>
                <w:left w:val="none" w:sz="0" w:space="8" w:color="auto"/>
              </w:pBdr>
              <w:spacing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Initialed General Conditions of Contract (GCC) </w:t>
            </w:r>
          </w:p>
          <w:p>
            <w:pPr>
              <w:spacing w:before="0" w:after="0"/>
              <w:rPr>
                <w:b w:val="0"/>
                <w:bCs w:val="0"/>
                <w:i w:val="0"/>
                <w:iCs w:val="0"/>
                <w:smallCaps w:val="0"/>
                <w:color w:val="000000"/>
                <w:sz w:val="20"/>
                <w:szCs w:val="20"/>
              </w:rPr>
            </w:pPr>
          </w:p>
        </w:tc>
        <w:tc>
          <w:tcPr>
            <w:tcW w:w="2644" w:type="dxa"/>
            <w:tcBorders>
              <w:top w:val="single" w:sz="6" w:space="0" w:color="999999"/>
              <w:left w:val="single" w:sz="6" w:space="0" w:color="999999"/>
              <w:bottom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bottom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2:</w:t>
            </w:r>
          </w:p>
          <w:p>
            <w:pPr>
              <w:numPr>
                <w:ilvl w:val="0"/>
                <w:numId w:val="5"/>
              </w:numPr>
              <w:pBdr>
                <w:left w:val="none" w:sz="0" w:space="8" w:color="auto"/>
              </w:pBdr>
              <w:spacing w:before="0"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Valid and original Tax Clearance Certificate and/or Tax Status Compliance Report with pin</w:t>
            </w:r>
          </w:p>
        </w:tc>
        <w:tc>
          <w:tcPr>
            <w:tcW w:w="2644" w:type="dxa"/>
            <w:tcBorders>
              <w:top w:val="single" w:sz="6" w:space="0" w:color="999999"/>
              <w:left w:val="single" w:sz="6" w:space="0" w:color="999999"/>
              <w:bottom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bottom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3:</w:t>
            </w:r>
          </w:p>
          <w:p>
            <w:pPr>
              <w:numPr>
                <w:ilvl w:val="0"/>
                <w:numId w:val="6"/>
              </w:numPr>
              <w:pBdr>
                <w:left w:val="none" w:sz="0" w:space="8" w:color="auto"/>
              </w:pBdr>
              <w:spacing w:before="0"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Certified copy of BBBEE Certificate from SANAS accredited agency or an original sworn affidavit in line with the</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DTI requirements</w:t>
            </w:r>
          </w:p>
          <w:p>
            <w:pPr>
              <w:spacing w:before="0" w:after="0"/>
              <w:rPr>
                <w:b w:val="0"/>
                <w:bCs w:val="0"/>
                <w:i w:val="0"/>
                <w:iCs w:val="0"/>
                <w:smallCaps w:val="0"/>
                <w:color w:val="000000"/>
                <w:sz w:val="20"/>
                <w:szCs w:val="20"/>
              </w:rPr>
            </w:pPr>
          </w:p>
        </w:tc>
        <w:tc>
          <w:tcPr>
            <w:tcW w:w="2644" w:type="dxa"/>
            <w:tcBorders>
              <w:top w:val="single" w:sz="6" w:space="0" w:color="999999"/>
              <w:left w:val="single" w:sz="6" w:space="0" w:color="999999"/>
              <w:bottom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4:</w:t>
            </w:r>
          </w:p>
          <w:p>
            <w:pPr>
              <w:numPr>
                <w:ilvl w:val="0"/>
                <w:numId w:val="7"/>
              </w:numPr>
              <w:pBdr>
                <w:left w:val="none" w:sz="0" w:space="8" w:color="auto"/>
              </w:pBdr>
              <w:spacing w:before="0"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Proposal</w:t>
            </w:r>
            <w:r>
              <w:rPr>
                <w:rFonts w:ascii="Arial" w:eastAsia="Arial" w:hAnsi="Arial" w:cs="Arial"/>
                <w:b w:val="0"/>
                <w:bCs w:val="0"/>
                <w:i w:val="0"/>
                <w:iCs w:val="0"/>
                <w:smallCaps w:val="0"/>
                <w:color w:val="000000"/>
                <w:sz w:val="20"/>
                <w:szCs w:val="20"/>
              </w:rPr>
              <w:t xml:space="preserve"> </w:t>
            </w:r>
          </w:p>
        </w:tc>
        <w:tc>
          <w:tcPr>
            <w:tcW w:w="2644" w:type="dxa"/>
            <w:tcBorders>
              <w:top w:val="single" w:sz="6" w:space="0" w:color="999999"/>
              <w:left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bl>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r>
        <w:rPr>
          <w:rFonts w:ascii="Arial" w:eastAsia="Arial" w:hAnsi="Arial" w:cs="Arial"/>
          <w:sz w:val="20"/>
          <w:szCs w:val="20"/>
        </w:rPr>
        <w:t>Bidders are to set out their proposals in the sequence of the checklist as indicated above.</w:t>
      </w: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tabs>
          <w:tab w:val="left" w:pos="1230"/>
        </w:tabs>
        <w:spacing w:before="0" w:after="0"/>
        <w:rPr>
          <w:sz w:val="20"/>
          <w:szCs w:val="20"/>
        </w:rPr>
      </w:pPr>
      <w:r>
        <w:rPr>
          <w:sz w:val="20"/>
          <w:szCs w:val="20"/>
        </w:rPr>
        <w:tab/>
      </w:r>
    </w:p>
    <w:p>
      <w:pPr>
        <w:numPr>
          <w:ilvl w:val="0"/>
          <w:numId w:val="8"/>
        </w:numPr>
        <w:pBdr>
          <w:left w:val="none" w:sz="0" w:space="7" w:color="auto"/>
        </w:pBdr>
        <w:spacing w:before="0" w:after="0" w:line="360" w:lineRule="auto"/>
        <w:ind w:left="426" w:right="0" w:hanging="409"/>
        <w:jc w:val="both"/>
        <w:rPr>
          <w:rFonts w:ascii="Arial" w:eastAsia="Arial" w:hAnsi="Arial" w:cs="Arial"/>
          <w:b/>
          <w:bCs/>
          <w:sz w:val="20"/>
          <w:szCs w:val="20"/>
        </w:rPr>
      </w:pPr>
      <w:r>
        <w:rPr>
          <w:rFonts w:ascii="Arial" w:eastAsia="Arial" w:hAnsi="Arial" w:cs="Arial"/>
          <w:b/>
          <w:bCs/>
          <w:sz w:val="20"/>
          <w:szCs w:val="20"/>
        </w:rPr>
        <w:t>LEGISLATIVE FRAMEWORK OF THE BID</w:t>
      </w:r>
    </w:p>
    <w:p>
      <w:pPr>
        <w:spacing w:before="0" w:after="0" w:line="360" w:lineRule="auto"/>
        <w:ind w:left="426" w:hanging="426"/>
        <w:jc w:val="both"/>
        <w:rPr>
          <w:sz w:val="20"/>
          <w:szCs w:val="20"/>
        </w:rPr>
      </w:pPr>
    </w:p>
    <w:p>
      <w:pPr>
        <w:spacing w:before="0" w:after="0" w:line="360" w:lineRule="auto"/>
        <w:ind w:left="426"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All bidders are to take note of the implications of contravening the Prevention and Combating of Corrupt Activities Act, Act No 12 of 2004 and any other Act applicable.</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This bid is premised on all Acts and Regulations relevant to Supply Chain Management. These include, inter alia, Treasury Regulation 16A3 promulgated under Section 76 of the Public Finance Management Act, 1999 (Act, No. 1 of 1999), the Preferential Procurement Policy Framework Act 2000 (Act, No.5 of 2000) and the Broad-Based Black Economic Empowerment Act, 2003 (Act, No. 53 of 2003), Preferential Procurement Regulations, 2017, treasury regulations and Value Added Tax Act, 1991 (Act No. 89 of 1991)</w:t>
      </w:r>
    </w:p>
    <w:p>
      <w:pPr>
        <w:spacing w:before="0" w:after="0" w:line="360" w:lineRule="auto"/>
        <w:ind w:left="426" w:hanging="426"/>
        <w:rPr>
          <w:sz w:val="20"/>
          <w:szCs w:val="20"/>
        </w:rPr>
      </w:pPr>
    </w:p>
    <w:p>
      <w:pPr>
        <w:numPr>
          <w:ilvl w:val="0"/>
          <w:numId w:val="9"/>
        </w:numPr>
        <w:pBdr>
          <w:left w:val="none" w:sz="0" w:space="4" w:color="auto"/>
        </w:pBdr>
        <w:spacing w:before="0" w:after="0" w:line="360" w:lineRule="auto"/>
        <w:ind w:left="426" w:right="0" w:hanging="343"/>
        <w:jc w:val="both"/>
        <w:rPr>
          <w:rFonts w:ascii="Arial" w:eastAsia="Arial" w:hAnsi="Arial" w:cs="Arial"/>
          <w:b/>
          <w:bCs/>
          <w:sz w:val="20"/>
          <w:szCs w:val="20"/>
        </w:rPr>
      </w:pPr>
      <w:r>
        <w:rPr>
          <w:rFonts w:ascii="Arial" w:eastAsia="Arial" w:hAnsi="Arial" w:cs="Arial"/>
          <w:b/>
          <w:bCs/>
          <w:sz w:val="20"/>
          <w:szCs w:val="20"/>
        </w:rPr>
        <w:t>GENERAL CONDITIONS OF CONTRACT</w:t>
      </w:r>
    </w:p>
    <w:p>
      <w:pPr>
        <w:spacing w:before="0" w:after="0" w:line="360" w:lineRule="auto"/>
        <w:ind w:left="426" w:hanging="426"/>
        <w:jc w:val="both"/>
        <w:rPr>
          <w:sz w:val="20"/>
          <w:szCs w:val="20"/>
        </w:rPr>
      </w:pPr>
    </w:p>
    <w:p>
      <w:pPr>
        <w:spacing w:before="0" w:after="0" w:line="360" w:lineRule="auto"/>
        <w:ind w:left="426"/>
        <w:jc w:val="both"/>
        <w:rPr>
          <w:sz w:val="20"/>
          <w:szCs w:val="20"/>
        </w:rPr>
      </w:pPr>
      <w:r>
        <w:rPr>
          <w:rFonts w:ascii="Arial" w:eastAsia="Arial" w:hAnsi="Arial" w:cs="Arial"/>
          <w:sz w:val="20"/>
          <w:szCs w:val="20"/>
        </w:rPr>
        <w:t xml:space="preserve">The General Conditions of Contract must be accepted, duly signed/initialled by the authorised representative of the bidder. The general conditions are attached herein as </w:t>
      </w:r>
      <w:r>
        <w:rPr>
          <w:rFonts w:ascii="Arial" w:eastAsia="Arial" w:hAnsi="Arial" w:cs="Arial"/>
          <w:b/>
          <w:bCs/>
          <w:sz w:val="20"/>
          <w:szCs w:val="20"/>
        </w:rPr>
        <w:t>Annexure A</w:t>
      </w:r>
      <w:r>
        <w:rPr>
          <w:rFonts w:ascii="Arial" w:eastAsia="Arial" w:hAnsi="Arial" w:cs="Arial"/>
          <w:sz w:val="20"/>
          <w:szCs w:val="20"/>
        </w:rPr>
        <w:t>.</w:t>
      </w:r>
    </w:p>
    <w:p>
      <w:pPr>
        <w:spacing w:before="0" w:after="0" w:line="360" w:lineRule="auto"/>
        <w:ind w:left="426" w:hanging="426"/>
        <w:jc w:val="both"/>
        <w:rPr>
          <w:sz w:val="20"/>
          <w:szCs w:val="20"/>
        </w:rPr>
      </w:pPr>
    </w:p>
    <w:p>
      <w:pPr>
        <w:numPr>
          <w:ilvl w:val="0"/>
          <w:numId w:val="10"/>
        </w:numPr>
        <w:pBdr>
          <w:left w:val="none" w:sz="0" w:space="4" w:color="auto"/>
        </w:pBdr>
        <w:spacing w:before="0" w:after="0" w:line="360" w:lineRule="auto"/>
        <w:ind w:left="426" w:right="0" w:hanging="343"/>
        <w:jc w:val="both"/>
        <w:rPr>
          <w:rFonts w:ascii="Arial" w:eastAsia="Arial" w:hAnsi="Arial" w:cs="Arial"/>
          <w:b/>
          <w:bCs/>
          <w:sz w:val="20"/>
          <w:szCs w:val="20"/>
        </w:rPr>
      </w:pPr>
      <w:r>
        <w:rPr>
          <w:rFonts w:ascii="Arial" w:eastAsia="Arial" w:hAnsi="Arial" w:cs="Arial"/>
          <w:b/>
          <w:bCs/>
          <w:sz w:val="20"/>
          <w:szCs w:val="20"/>
        </w:rPr>
        <w:t>SPECIAL CONDITIONS OF THE BID</w:t>
      </w:r>
    </w:p>
    <w:p>
      <w:pPr>
        <w:spacing w:before="0" w:after="0" w:line="360" w:lineRule="auto"/>
        <w:ind w:left="426"/>
        <w:jc w:val="both"/>
        <w:rPr>
          <w:sz w:val="20"/>
          <w:szCs w:val="20"/>
        </w:rPr>
      </w:pPr>
    </w:p>
    <w:p>
      <w:pPr>
        <w:spacing w:before="0" w:after="0" w:line="360" w:lineRule="auto"/>
        <w:ind w:left="450" w:hanging="450"/>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Bidders must be registered as service providers on the Central Supplier Database. If you are not registered, proceed to complete the registration of your company prior to submitting your proposal on https://secure.csd.gov.za/. Proof of registration must be submitted along with the bid</w:t>
      </w:r>
    </w:p>
    <w:p>
      <w:pPr>
        <w:spacing w:before="0" w:after="0" w:line="360" w:lineRule="auto"/>
        <w:ind w:left="450" w:hanging="450"/>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This bid will only be awarded to the successful bidder after INSETA has verified that the supplier is registered as a prospective supplier on the Central Supplier Database (CSD).</w:t>
      </w:r>
    </w:p>
    <w:p>
      <w:pPr>
        <w:spacing w:before="0" w:after="0" w:line="360" w:lineRule="auto"/>
        <w:ind w:left="450" w:hanging="450"/>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successful bidder will be expected to submit signed agreements/contracts, relevant to this project, with all the proposed members of the team (facilitators, moderators, assessors).</w:t>
      </w:r>
      <w:r>
        <w:rPr>
          <w:rFonts w:ascii="Arial" w:eastAsia="Arial" w:hAnsi="Arial" w:cs="Arial"/>
          <w:sz w:val="20"/>
          <w:szCs w:val="20"/>
        </w:rPr>
        <w:t xml:space="preserve">  </w:t>
      </w:r>
      <w:r>
        <w:rPr>
          <w:rFonts w:ascii="Arial" w:eastAsia="Arial" w:hAnsi="Arial" w:cs="Arial"/>
          <w:sz w:val="20"/>
          <w:szCs w:val="20"/>
        </w:rPr>
        <w:t xml:space="preserve">These agreements/contracts must be valid for the duration of the project. </w:t>
      </w:r>
    </w:p>
    <w:p>
      <w:pPr>
        <w:spacing w:before="0" w:after="0" w:line="360" w:lineRule="auto"/>
        <w:ind w:left="450" w:hanging="450"/>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changes to the approved project team must be approved by INSETA.</w:t>
      </w:r>
    </w:p>
    <w:p>
      <w:pPr>
        <w:spacing w:before="0" w:after="0" w:line="360" w:lineRule="auto"/>
        <w:ind w:left="450" w:hanging="450"/>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INSETA reserves the right:</w:t>
      </w:r>
    </w:p>
    <w:p>
      <w:pPr>
        <w:numPr>
          <w:ilvl w:val="0"/>
          <w:numId w:val="11"/>
        </w:numPr>
        <w:tabs>
          <w:tab w:val="left" w:pos="2558"/>
        </w:tabs>
        <w:spacing w:before="0"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Not to award or cancel this tender at any time and shall not be bound to accept the lowest or any Bid.</w:t>
      </w:r>
    </w:p>
    <w:p>
      <w:pPr>
        <w:numPr>
          <w:ilvl w:val="0"/>
          <w:numId w:val="11"/>
        </w:numPr>
        <w:tabs>
          <w:tab w:val="left" w:pos="2558"/>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award contract or any part thereof to one or more bidders.</w:t>
      </w:r>
    </w:p>
    <w:p>
      <w:pPr>
        <w:numPr>
          <w:ilvl w:val="0"/>
          <w:numId w:val="11"/>
        </w:numPr>
        <w:tabs>
          <w:tab w:val="left" w:pos="2558"/>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accept part of a tender rather than the whole tender.</w:t>
      </w:r>
    </w:p>
    <w:p>
      <w:pPr>
        <w:numPr>
          <w:ilvl w:val="0"/>
          <w:numId w:val="11"/>
        </w:numPr>
        <w:tabs>
          <w:tab w:val="left" w:pos="2558"/>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carry out site inspections, product evaluations or explanatory meetings in order to verify the nature and quality of the services offered by the bidder(s), whether before or after adjudication of the Bid.</w:t>
      </w:r>
    </w:p>
    <w:p>
      <w:pPr>
        <w:numPr>
          <w:ilvl w:val="0"/>
          <w:numId w:val="11"/>
        </w:numPr>
        <w:tabs>
          <w:tab w:val="left" w:pos="2558"/>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correct any mistakes at any stage of the tender that may have been in the Bid documents or occurred at any stage of the tender process.</w:t>
      </w:r>
    </w:p>
    <w:p>
      <w:pPr>
        <w:numPr>
          <w:ilvl w:val="0"/>
          <w:numId w:val="11"/>
        </w:numPr>
        <w:tabs>
          <w:tab w:val="left" w:pos="2558"/>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cancel and/or terminate the tender process at any stage, including after the Closing Date and/or after presentations have been made, and/or after tenders have been evaluated and/or after the preferred bidder(s) have been notified of their status as such.</w:t>
      </w:r>
    </w:p>
    <w:p>
      <w:pPr>
        <w:numPr>
          <w:ilvl w:val="0"/>
          <w:numId w:val="11"/>
        </w:numPr>
        <w:tabs>
          <w:tab w:val="left" w:pos="2558"/>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award a tender based on which bidder is offering the best value for money, even if such Tender is not the lowest priced tender.</w:t>
      </w:r>
    </w:p>
    <w:p>
      <w:pPr>
        <w:numPr>
          <w:ilvl w:val="0"/>
          <w:numId w:val="11"/>
        </w:numPr>
        <w:tabs>
          <w:tab w:val="left" w:pos="2558"/>
        </w:tabs>
        <w:spacing w:after="0"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Award to multiple bidders to spread the risk.</w:t>
      </w:r>
    </w:p>
    <w:p>
      <w:pPr>
        <w:spacing w:before="0" w:after="0" w:line="360" w:lineRule="auto"/>
        <w:ind w:left="450" w:hanging="450"/>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 Bidder must be a South African entity (Company, Close Corporation, Sole Proprietor or individual) or have a local branch office in South Africa.</w:t>
      </w:r>
    </w:p>
    <w:p>
      <w:pPr>
        <w:spacing w:before="0" w:after="0" w:line="360" w:lineRule="auto"/>
        <w:ind w:left="450" w:hanging="450"/>
        <w:rPr>
          <w:sz w:val="20"/>
          <w:szCs w:val="20"/>
        </w:rPr>
      </w:pPr>
      <w:r>
        <w:rPr>
          <w:rFonts w:ascii="Arial" w:eastAsia="Arial" w:hAnsi="Arial" w:cs="Arial"/>
          <w:sz w:val="20"/>
          <w:szCs w:val="20"/>
        </w:rPr>
        <w:t>g)</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Bidder must comply with all applicable legislation in the Republic of South Africa in the performance of its daily activities, including but not limited to labour legislation and bargaining council agreements, health and safety regulations and environmental laws.</w:t>
      </w:r>
    </w:p>
    <w:p>
      <w:pPr>
        <w:spacing w:before="0" w:after="0" w:line="360" w:lineRule="auto"/>
        <w:ind w:left="450" w:hanging="450"/>
        <w:rPr>
          <w:sz w:val="20"/>
          <w:szCs w:val="20"/>
        </w:rPr>
      </w:pPr>
      <w:r>
        <w:rPr>
          <w:rFonts w:ascii="Arial" w:eastAsia="Arial" w:hAnsi="Arial" w:cs="Arial"/>
          <w:sz w:val="20"/>
          <w:szCs w:val="20"/>
        </w:rPr>
        <w:t>h)</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INSETA will reject a Bidder’s Tender without any further consideration where that Bidder makes culpable misrepresentation to INSETA in its Tender or at any stage during this RFP process.</w:t>
      </w:r>
    </w:p>
    <w:p>
      <w:pPr>
        <w:spacing w:before="0" w:after="0" w:line="360" w:lineRule="auto"/>
        <w:ind w:left="450" w:hanging="450"/>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Board and employees of INSETA shall not do any business with INSETA</w:t>
      </w:r>
    </w:p>
    <w:p>
      <w:pPr>
        <w:spacing w:before="0" w:after="0" w:line="360" w:lineRule="auto"/>
        <w:ind w:left="450" w:hanging="450"/>
        <w:rPr>
          <w:sz w:val="20"/>
          <w:szCs w:val="20"/>
        </w:rPr>
      </w:pPr>
      <w:r>
        <w:rPr>
          <w:rFonts w:ascii="Arial" w:eastAsia="Arial" w:hAnsi="Arial" w:cs="Arial"/>
          <w:sz w:val="20"/>
          <w:szCs w:val="20"/>
        </w:rPr>
        <w:t>j)</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No faxed or e-mailed bids will be accepted</w:t>
      </w:r>
    </w:p>
    <w:p>
      <w:pPr>
        <w:spacing w:before="0" w:after="0" w:line="360" w:lineRule="auto"/>
        <w:ind w:left="426" w:hanging="426"/>
        <w:rPr>
          <w:sz w:val="20"/>
          <w:szCs w:val="20"/>
        </w:rPr>
      </w:pPr>
    </w:p>
    <w:p>
      <w:pPr>
        <w:numPr>
          <w:ilvl w:val="0"/>
          <w:numId w:val="12"/>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COMMUNICATION WITH BIDDERS</w:t>
      </w:r>
    </w:p>
    <w:p>
      <w:pPr>
        <w:spacing w:before="0" w:after="0" w:line="360" w:lineRule="auto"/>
        <w:ind w:left="426" w:hanging="426"/>
        <w:rPr>
          <w:sz w:val="20"/>
          <w:szCs w:val="20"/>
        </w:rPr>
      </w:pPr>
    </w:p>
    <w:p>
      <w:pPr>
        <w:spacing w:before="0" w:after="0" w:line="360" w:lineRule="auto"/>
        <w:ind w:left="426"/>
        <w:rPr>
          <w:sz w:val="20"/>
          <w:szCs w:val="20"/>
        </w:rPr>
      </w:pPr>
      <w:r>
        <w:rPr>
          <w:rFonts w:ascii="Arial" w:eastAsia="Arial" w:hAnsi="Arial" w:cs="Arial"/>
          <w:sz w:val="20"/>
          <w:szCs w:val="20"/>
        </w:rPr>
        <w:t>During evaluation of the bids, explanatory information may be requested in writing from bidders.</w:t>
      </w:r>
      <w:r>
        <w:rPr>
          <w:rFonts w:ascii="Arial" w:eastAsia="Arial" w:hAnsi="Arial" w:cs="Arial"/>
          <w:sz w:val="20"/>
          <w:szCs w:val="20"/>
        </w:rPr>
        <w:t xml:space="preserve">  </w:t>
      </w:r>
      <w:r>
        <w:rPr>
          <w:rFonts w:ascii="Arial" w:eastAsia="Arial" w:hAnsi="Arial" w:cs="Arial"/>
          <w:sz w:val="20"/>
          <w:szCs w:val="20"/>
        </w:rPr>
        <w:t>Replies to such request must be submitted, within three (three) working days or as otherwise indicated.</w:t>
      </w:r>
      <w:r>
        <w:rPr>
          <w:rFonts w:ascii="Arial" w:eastAsia="Arial" w:hAnsi="Arial" w:cs="Arial"/>
          <w:sz w:val="20"/>
          <w:szCs w:val="20"/>
        </w:rPr>
        <w:t xml:space="preserve">  </w:t>
      </w:r>
      <w:r>
        <w:rPr>
          <w:rFonts w:ascii="Arial" w:eastAsia="Arial" w:hAnsi="Arial" w:cs="Arial"/>
          <w:sz w:val="20"/>
          <w:szCs w:val="20"/>
        </w:rPr>
        <w:t>Failure to comply, may lead to your bid being disregarded.</w:t>
      </w:r>
    </w:p>
    <w:p>
      <w:pPr>
        <w:spacing w:before="0" w:after="0" w:line="360" w:lineRule="auto"/>
        <w:ind w:left="426" w:hanging="426"/>
        <w:rPr>
          <w:sz w:val="20"/>
          <w:szCs w:val="20"/>
        </w:rPr>
      </w:pPr>
    </w:p>
    <w:p>
      <w:pPr>
        <w:numPr>
          <w:ilvl w:val="0"/>
          <w:numId w:val="13"/>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CONFIDENTIALITY</w:t>
      </w:r>
    </w:p>
    <w:p>
      <w:pPr>
        <w:spacing w:before="0" w:after="0" w:line="360" w:lineRule="auto"/>
        <w:ind w:left="426" w:hanging="426"/>
        <w:rPr>
          <w:sz w:val="20"/>
          <w:szCs w:val="20"/>
        </w:rPr>
      </w:pPr>
    </w:p>
    <w:p>
      <w:pPr>
        <w:spacing w:before="0" w:after="120" w:line="360" w:lineRule="auto"/>
        <w:ind w:left="426" w:hanging="426"/>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Except as may be required by operation of law, by a court or by a regulatory authority having appropriate jurisdiction, no information contained in or relating to this bid or a bidder’s tender(s) will be disclosed by any bidder or other person not officially involved with INSETA’s examination and evaluation of a Tender.</w:t>
      </w:r>
    </w:p>
    <w:p>
      <w:pPr>
        <w:spacing w:before="0" w:after="12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No part of the bid may be distributed, reproduced, stored or transmitted, in any form or by any means, electronic, photocopying, recording or otherwise, in whole or in part except for the purpose of preparing a Tender. This bid and any other documents supplied by INSETA remain proprietary to INSETA and must be promptly returned to INSETA upon request together with all copies, electronic versions, excerpts or summaries thereof or work derived there from.</w:t>
      </w:r>
    </w:p>
    <w:p>
      <w:pPr>
        <w:spacing w:before="0" w:after="12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Throughout this bid process and thereafter, bidder(s) must secure INSETA’s written approval prior to the release of any information that pertains to (i) the potential work or activities to which this bid relates; or (ii) the process which follows this bid. Failure to adhere to this requirement may result in disqualification from the bid process and civil action.</w:t>
      </w:r>
    </w:p>
    <w:p>
      <w:pPr>
        <w:spacing w:before="0" w:after="120" w:line="360" w:lineRule="auto"/>
        <w:ind w:left="426" w:hanging="426"/>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No confidential information relating to the process of evaluating or adjudicating tenders or appointing a bidder will be disclosed to a bidder or any other person not officially involved with such process</w:t>
      </w:r>
    </w:p>
    <w:p>
      <w:pPr>
        <w:spacing w:before="0" w:after="0" w:line="360" w:lineRule="auto"/>
        <w:jc w:val="both"/>
        <w:rPr>
          <w:sz w:val="20"/>
          <w:szCs w:val="20"/>
        </w:rPr>
      </w:pPr>
    </w:p>
    <w:p>
      <w:pPr>
        <w:numPr>
          <w:ilvl w:val="0"/>
          <w:numId w:val="14"/>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INTELLECTUAL PROPERTY, INVENTIONS AND COPYRIGHT</w:t>
      </w:r>
    </w:p>
    <w:p>
      <w:pPr>
        <w:spacing w:before="0" w:after="0" w:line="360" w:lineRule="auto"/>
        <w:ind w:left="426" w:hanging="426"/>
        <w:rPr>
          <w:sz w:val="20"/>
          <w:szCs w:val="20"/>
        </w:rPr>
      </w:pPr>
    </w:p>
    <w:p>
      <w:pPr>
        <w:spacing w:before="0" w:after="0" w:line="360" w:lineRule="auto"/>
        <w:ind w:left="426" w:hanging="426"/>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Copyright of all documentation relating to this contract belongs to the INSETA.</w:t>
      </w:r>
      <w:r>
        <w:rPr>
          <w:rFonts w:ascii="Arial" w:eastAsia="Arial" w:hAnsi="Arial" w:cs="Arial"/>
          <w:sz w:val="20"/>
          <w:szCs w:val="20"/>
        </w:rPr>
        <w:t xml:space="preserve">  </w:t>
      </w:r>
      <w:r>
        <w:rPr>
          <w:rFonts w:ascii="Arial" w:eastAsia="Arial" w:hAnsi="Arial" w:cs="Arial"/>
          <w:sz w:val="20"/>
          <w:szCs w:val="20"/>
        </w:rPr>
        <w:t>The successful bidder may not disclose any information, documentation or products to other clients without the written approval of the accounting authority or the delegate.</w:t>
      </w:r>
    </w:p>
    <w:p>
      <w:pPr>
        <w:spacing w:before="0" w:after="0" w:line="360" w:lineRule="auto"/>
        <w:ind w:left="426" w:hanging="426"/>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In the event that the service provider would like to use information or data generated by the service, the prior written permission must be obtained from INSETA. </w:t>
      </w:r>
    </w:p>
    <w:p>
      <w:pPr>
        <w:spacing w:before="0" w:after="0" w:line="360" w:lineRule="auto"/>
        <w:ind w:left="426" w:hanging="426"/>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Service provider acknowledges and agrees that:</w:t>
      </w:r>
    </w:p>
    <w:p>
      <w:pPr>
        <w:numPr>
          <w:ilvl w:val="0"/>
          <w:numId w:val="15"/>
        </w:numPr>
        <w:pBdr>
          <w:left w:val="none" w:sz="0" w:space="9" w:color="auto"/>
        </w:pBdr>
        <w:spacing w:before="0" w:line="360" w:lineRule="auto"/>
        <w:ind w:left="1418" w:right="0" w:hanging="389"/>
        <w:jc w:val="both"/>
        <w:rPr>
          <w:rFonts w:ascii="Arial" w:eastAsia="Arial" w:hAnsi="Arial" w:cs="Arial"/>
          <w:sz w:val="20"/>
          <w:szCs w:val="20"/>
        </w:rPr>
      </w:pPr>
      <w:r>
        <w:rPr>
          <w:rFonts w:ascii="Arial" w:eastAsia="Arial" w:hAnsi="Arial" w:cs="Arial"/>
          <w:sz w:val="20"/>
          <w:szCs w:val="20"/>
        </w:rPr>
        <w:t>Each provision of clause above is separate, severally and separately enforceable from any other provisions of this agreement.</w:t>
      </w:r>
    </w:p>
    <w:p>
      <w:pPr>
        <w:numPr>
          <w:ilvl w:val="0"/>
          <w:numId w:val="15"/>
        </w:numPr>
        <w:pBdr>
          <w:left w:val="none" w:sz="0" w:space="9" w:color="auto"/>
        </w:pBdr>
        <w:spacing w:line="360" w:lineRule="auto"/>
        <w:ind w:left="1418" w:right="0" w:hanging="444"/>
        <w:jc w:val="both"/>
        <w:rPr>
          <w:rFonts w:ascii="Arial" w:eastAsia="Arial" w:hAnsi="Arial" w:cs="Arial"/>
          <w:sz w:val="20"/>
          <w:szCs w:val="20"/>
        </w:rPr>
      </w:pPr>
      <w:r>
        <w:rPr>
          <w:rFonts w:ascii="Arial" w:eastAsia="Arial" w:hAnsi="Arial" w:cs="Arial"/>
          <w:sz w:val="20"/>
          <w:szCs w:val="20"/>
        </w:rPr>
        <w:t>The invalidity or non-enforceability of any one or more provision hereof, shall not prejudice or effect the enforceability and validity of the remaining provisions of this agreement; and</w:t>
      </w:r>
    </w:p>
    <w:p>
      <w:pPr>
        <w:numPr>
          <w:ilvl w:val="0"/>
          <w:numId w:val="15"/>
        </w:numPr>
        <w:pBdr>
          <w:left w:val="none" w:sz="0" w:space="9" w:color="auto"/>
        </w:pBdr>
        <w:spacing w:after="0" w:line="360" w:lineRule="auto"/>
        <w:ind w:left="1418" w:right="0" w:hanging="500"/>
        <w:jc w:val="both"/>
        <w:rPr>
          <w:rFonts w:ascii="Arial" w:eastAsia="Arial" w:hAnsi="Arial" w:cs="Arial"/>
          <w:sz w:val="20"/>
          <w:szCs w:val="20"/>
        </w:rPr>
      </w:pPr>
      <w:r>
        <w:rPr>
          <w:rFonts w:ascii="Arial" w:eastAsia="Arial" w:hAnsi="Arial" w:cs="Arial"/>
          <w:sz w:val="20"/>
          <w:szCs w:val="20"/>
        </w:rPr>
        <w:t>This contract contains various stipulation alteri in favour of the Department of Higher Education and Training, which rights shall continue in effect after termination of this Agreement, and which rights can be exercised and enforced at any time by the Department of Higher Education and Training.</w:t>
      </w:r>
    </w:p>
    <w:p>
      <w:pPr>
        <w:spacing w:before="0" w:after="0" w:line="360" w:lineRule="auto"/>
        <w:ind w:left="426" w:hanging="426"/>
        <w:rPr>
          <w:sz w:val="20"/>
          <w:szCs w:val="20"/>
        </w:rPr>
      </w:pPr>
    </w:p>
    <w:p>
      <w:pPr>
        <w:numPr>
          <w:ilvl w:val="0"/>
          <w:numId w:val="16"/>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BRIEFING SESSION</w:t>
      </w:r>
    </w:p>
    <w:p>
      <w:pPr>
        <w:spacing w:before="0" w:after="0" w:line="360" w:lineRule="auto"/>
        <w:ind w:left="426" w:hanging="426"/>
        <w:rPr>
          <w:sz w:val="20"/>
          <w:szCs w:val="20"/>
        </w:rPr>
      </w:pPr>
    </w:p>
    <w:p>
      <w:pPr>
        <w:spacing w:before="0" w:after="0" w:line="360" w:lineRule="auto"/>
        <w:ind w:left="426"/>
        <w:jc w:val="both"/>
        <w:rPr>
          <w:sz w:val="20"/>
          <w:szCs w:val="20"/>
        </w:rPr>
      </w:pPr>
      <w:r>
        <w:rPr>
          <w:rFonts w:ascii="Arial" w:eastAsia="Arial" w:hAnsi="Arial" w:cs="Arial"/>
          <w:sz w:val="20"/>
          <w:szCs w:val="20"/>
        </w:rPr>
        <w:t xml:space="preserve">There will be a compulsory briefing session for this tender. </w:t>
      </w:r>
      <w:r>
        <w:rPr>
          <w:rFonts w:ascii="Arial" w:eastAsia="Arial" w:hAnsi="Arial" w:cs="Arial"/>
          <w:b/>
          <w:bCs/>
          <w:sz w:val="20"/>
          <w:szCs w:val="20"/>
        </w:rPr>
        <w:t>Failure to attend the briefing will lead to an automatic disqualification</w:t>
      </w:r>
      <w:r>
        <w:rPr>
          <w:rFonts w:ascii="Arial" w:eastAsia="Arial" w:hAnsi="Arial" w:cs="Arial"/>
          <w:b/>
          <w:bCs/>
          <w:sz w:val="20"/>
          <w:szCs w:val="20"/>
        </w:rPr>
        <w:t>.</w:t>
      </w:r>
    </w:p>
    <w:p>
      <w:pPr>
        <w:spacing w:before="0" w:after="0" w:line="360" w:lineRule="auto"/>
        <w:ind w:left="426"/>
        <w:jc w:val="both"/>
        <w:rPr>
          <w:sz w:val="20"/>
          <w:szCs w:val="20"/>
        </w:rPr>
      </w:pPr>
    </w:p>
    <w:p>
      <w:pPr>
        <w:numPr>
          <w:ilvl w:val="0"/>
          <w:numId w:val="17"/>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SUBMISSION OF PROPOSALS</w:t>
      </w:r>
    </w:p>
    <w:p>
      <w:pPr>
        <w:spacing w:before="0" w:after="0" w:line="360" w:lineRule="auto"/>
        <w:ind w:left="426" w:hanging="426"/>
        <w:rPr>
          <w:sz w:val="20"/>
          <w:szCs w:val="20"/>
        </w:rPr>
      </w:pPr>
    </w:p>
    <w:p>
      <w:pPr>
        <w:spacing w:before="0" w:after="0" w:line="360" w:lineRule="auto"/>
        <w:ind w:left="426"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An </w:t>
      </w:r>
      <w:r>
        <w:rPr>
          <w:rFonts w:ascii="Arial" w:eastAsia="Arial" w:hAnsi="Arial" w:cs="Arial"/>
          <w:b/>
          <w:bCs/>
          <w:sz w:val="20"/>
          <w:szCs w:val="20"/>
        </w:rPr>
        <w:t>original plus one (1) copies of the bid</w:t>
      </w:r>
      <w:r>
        <w:rPr>
          <w:rFonts w:ascii="Arial" w:eastAsia="Arial" w:hAnsi="Arial" w:cs="Arial"/>
          <w:sz w:val="20"/>
          <w:szCs w:val="20"/>
        </w:rPr>
        <w:t>, i.e. Two (2) documents in total should be handed in/delivered for attention to:</w:t>
      </w:r>
    </w:p>
    <w:p>
      <w:pPr>
        <w:spacing w:before="0" w:after="0" w:line="360" w:lineRule="auto"/>
        <w:ind w:left="1703" w:hanging="426"/>
        <w:jc w:val="both"/>
        <w:rPr>
          <w:sz w:val="20"/>
          <w:szCs w:val="20"/>
        </w:rPr>
      </w:pPr>
      <w:r>
        <w:rPr>
          <w:rFonts w:ascii="Arial" w:eastAsia="Arial" w:hAnsi="Arial" w:cs="Arial"/>
          <w:sz w:val="20"/>
          <w:szCs w:val="20"/>
        </w:rPr>
        <w:t xml:space="preserve">Ms </w:t>
      </w:r>
      <w:r>
        <w:rPr>
          <w:rFonts w:ascii="Arial" w:eastAsia="Arial" w:hAnsi="Arial" w:cs="Arial"/>
          <w:sz w:val="20"/>
          <w:szCs w:val="20"/>
        </w:rPr>
        <w:t>Lindiwe Duma</w:t>
      </w:r>
      <w:r>
        <w:rPr>
          <w:rFonts w:ascii="Arial" w:eastAsia="Arial" w:hAnsi="Arial" w:cs="Arial"/>
          <w:sz w:val="20"/>
          <w:szCs w:val="20"/>
        </w:rPr>
        <w:t>,</w:t>
      </w:r>
      <w:r>
        <w:rPr>
          <w:rFonts w:ascii="Arial" w:eastAsia="Arial" w:hAnsi="Arial" w:cs="Arial"/>
          <w:sz w:val="20"/>
          <w:szCs w:val="20"/>
        </w:rPr>
        <w:t xml:space="preserve"> Supply Chain Management</w:t>
      </w:r>
    </w:p>
    <w:p>
      <w:pPr>
        <w:spacing w:before="0" w:after="0" w:line="360" w:lineRule="auto"/>
        <w:ind w:left="1703" w:hanging="426"/>
        <w:jc w:val="both"/>
        <w:rPr>
          <w:sz w:val="20"/>
          <w:szCs w:val="20"/>
        </w:rPr>
      </w:pPr>
      <w:r>
        <w:rPr>
          <w:rFonts w:ascii="Arial" w:eastAsia="Arial" w:hAnsi="Arial" w:cs="Arial"/>
          <w:sz w:val="20"/>
          <w:szCs w:val="20"/>
        </w:rPr>
        <w:t>INSETA</w:t>
      </w:r>
    </w:p>
    <w:p>
      <w:pPr>
        <w:spacing w:before="0" w:after="0" w:line="360" w:lineRule="auto"/>
        <w:ind w:left="1703" w:hanging="426"/>
        <w:jc w:val="both"/>
        <w:rPr>
          <w:sz w:val="20"/>
          <w:szCs w:val="20"/>
        </w:rPr>
      </w:pPr>
      <w:r>
        <w:rPr>
          <w:rFonts w:ascii="Arial" w:eastAsia="Arial" w:hAnsi="Arial" w:cs="Arial"/>
          <w:sz w:val="20"/>
          <w:szCs w:val="20"/>
        </w:rPr>
        <w:t>Ground Floor,</w:t>
      </w:r>
      <w:r>
        <w:rPr>
          <w:rFonts w:ascii="Arial" w:eastAsia="Arial" w:hAnsi="Arial" w:cs="Arial"/>
          <w:sz w:val="20"/>
          <w:szCs w:val="20"/>
        </w:rPr>
        <w:t xml:space="preserve"> Tender Box</w:t>
      </w:r>
    </w:p>
    <w:p>
      <w:pPr>
        <w:spacing w:before="0" w:after="0" w:line="360" w:lineRule="auto"/>
        <w:ind w:left="1703" w:hanging="426"/>
        <w:jc w:val="both"/>
        <w:rPr>
          <w:sz w:val="20"/>
          <w:szCs w:val="20"/>
        </w:rPr>
      </w:pPr>
      <w:r>
        <w:rPr>
          <w:rFonts w:ascii="Arial" w:eastAsia="Arial" w:hAnsi="Arial" w:cs="Arial"/>
          <w:sz w:val="20"/>
          <w:szCs w:val="20"/>
        </w:rPr>
        <w:t>37 Empire Road, Parktown</w:t>
      </w:r>
    </w:p>
    <w:p>
      <w:pPr>
        <w:spacing w:before="0" w:after="0" w:line="360" w:lineRule="auto"/>
        <w:ind w:left="1703" w:hanging="426"/>
        <w:jc w:val="both"/>
        <w:rPr>
          <w:sz w:val="20"/>
          <w:szCs w:val="20"/>
        </w:rPr>
      </w:pPr>
      <w:r>
        <w:rPr>
          <w:rFonts w:ascii="Arial" w:eastAsia="Arial" w:hAnsi="Arial" w:cs="Arial"/>
          <w:sz w:val="20"/>
          <w:szCs w:val="20"/>
        </w:rPr>
        <w:t>Johannesburg</w:t>
      </w:r>
    </w:p>
    <w:p>
      <w:pPr>
        <w:spacing w:before="0" w:after="0" w:line="360" w:lineRule="auto"/>
        <w:ind w:left="1703" w:hanging="426"/>
        <w:jc w:val="both"/>
        <w:rPr>
          <w:sz w:val="20"/>
          <w:szCs w:val="20"/>
        </w:rPr>
      </w:pPr>
      <w:r>
        <w:rPr>
          <w:rFonts w:ascii="Arial" w:eastAsia="Arial" w:hAnsi="Arial" w:cs="Arial"/>
          <w:b/>
          <w:bCs/>
          <w:sz w:val="20"/>
          <w:szCs w:val="20"/>
        </w:rPr>
        <w:t>NB:</w:t>
      </w:r>
      <w:r>
        <w:rPr>
          <w:rFonts w:ascii="Arial" w:eastAsia="Arial" w:hAnsi="Arial" w:cs="Arial"/>
          <w:b/>
          <w:bCs/>
          <w:sz w:val="20"/>
          <w:szCs w:val="20"/>
        </w:rPr>
        <w:t xml:space="preserve">  </w:t>
      </w:r>
      <w:r>
        <w:rPr>
          <w:rFonts w:ascii="Arial" w:eastAsia="Arial" w:hAnsi="Arial" w:cs="Arial"/>
          <w:b/>
          <w:bCs/>
          <w:sz w:val="20"/>
          <w:szCs w:val="20"/>
        </w:rPr>
        <w:t>Bidders are to indicate on the cover of each document whether it is the original or a copy</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Bids should be submitted in a sealed envelope, marked with:</w:t>
      </w:r>
    </w:p>
    <w:p>
      <w:pPr>
        <w:spacing w:before="0" w:after="0" w:line="360" w:lineRule="auto"/>
        <w:ind w:left="900"/>
        <w:jc w:val="both"/>
        <w:rPr>
          <w:sz w:val="20"/>
          <w:szCs w:val="20"/>
        </w:rPr>
      </w:pPr>
      <w:r>
        <w:rPr>
          <w:rFonts w:ascii="Arial" w:eastAsia="Arial" w:hAnsi="Arial" w:cs="Arial"/>
          <w:sz w:val="20"/>
          <w:szCs w:val="20"/>
        </w:rPr>
        <w:t xml:space="preserve">Bid number: </w:t>
      </w:r>
      <w:r>
        <w:rPr>
          <w:rFonts w:ascii="Arial" w:eastAsia="Arial" w:hAnsi="Arial" w:cs="Arial"/>
          <w:b/>
          <w:bCs/>
          <w:sz w:val="20"/>
          <w:szCs w:val="20"/>
        </w:rPr>
        <w:t>ETQA/2020/06</w:t>
      </w:r>
    </w:p>
    <w:p>
      <w:pPr>
        <w:spacing w:before="0" w:after="0" w:line="360" w:lineRule="auto"/>
        <w:ind w:left="900"/>
        <w:jc w:val="both"/>
        <w:rPr>
          <w:sz w:val="20"/>
          <w:szCs w:val="20"/>
        </w:rPr>
      </w:pPr>
      <w:r>
        <w:rPr>
          <w:rFonts w:ascii="Arial" w:eastAsia="Arial" w:hAnsi="Arial" w:cs="Arial"/>
          <w:sz w:val="20"/>
          <w:szCs w:val="20"/>
        </w:rPr>
        <w:t xml:space="preserve">Closing date and time: </w:t>
      </w:r>
      <w:r>
        <w:rPr>
          <w:rFonts w:ascii="Arial" w:eastAsia="Arial" w:hAnsi="Arial" w:cs="Arial"/>
          <w:b/>
          <w:bCs/>
          <w:sz w:val="20"/>
          <w:szCs w:val="20"/>
        </w:rPr>
        <w:t>0</w:t>
      </w:r>
      <w:r>
        <w:rPr>
          <w:rFonts w:ascii="Arial" w:eastAsia="Arial" w:hAnsi="Arial" w:cs="Arial"/>
          <w:b/>
          <w:bCs/>
          <w:sz w:val="20"/>
          <w:szCs w:val="20"/>
        </w:rPr>
        <w:t>3</w:t>
      </w:r>
      <w:r>
        <w:rPr>
          <w:rFonts w:ascii="Arial" w:eastAsia="Arial" w:hAnsi="Arial" w:cs="Arial"/>
          <w:b/>
          <w:bCs/>
          <w:sz w:val="20"/>
          <w:szCs w:val="20"/>
        </w:rPr>
        <w:t xml:space="preserve"> March 2020</w:t>
      </w:r>
      <w:r>
        <w:rPr>
          <w:rFonts w:ascii="Arial" w:eastAsia="Arial" w:hAnsi="Arial" w:cs="Arial"/>
          <w:b/>
          <w:bCs/>
          <w:sz w:val="20"/>
          <w:szCs w:val="20"/>
        </w:rPr>
        <w:t xml:space="preserve"> at 11H00</w:t>
      </w:r>
    </w:p>
    <w:p>
      <w:pPr>
        <w:spacing w:before="0" w:after="0" w:line="360" w:lineRule="auto"/>
        <w:ind w:left="900"/>
        <w:jc w:val="both"/>
        <w:rPr>
          <w:sz w:val="20"/>
          <w:szCs w:val="20"/>
        </w:rPr>
      </w:pPr>
      <w:r>
        <w:rPr>
          <w:rFonts w:ascii="Arial" w:eastAsia="Arial" w:hAnsi="Arial" w:cs="Arial"/>
          <w:sz w:val="20"/>
          <w:szCs w:val="20"/>
        </w:rPr>
        <w:t xml:space="preserve">The name and address of the bidder: </w:t>
      </w:r>
    </w:p>
    <w:p>
      <w:pPr>
        <w:spacing w:before="0" w:after="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Documents submitted on time by bidders shall not be returned.</w:t>
      </w:r>
    </w:p>
    <w:p>
      <w:pPr>
        <w:spacing w:before="0" w:after="0" w:line="360" w:lineRule="auto"/>
        <w:ind w:left="426" w:hanging="426"/>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Bid documents will only be considered if received by the INSETA before the closing date and time, regardless of the method used to send or deliver such documents to the INSETA. </w:t>
      </w:r>
    </w:p>
    <w:p>
      <w:pPr>
        <w:spacing w:before="0" w:after="0" w:line="360" w:lineRule="auto"/>
        <w:ind w:left="426" w:hanging="426"/>
        <w:jc w:val="both"/>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Bids can be delivered between 08h30 and 17h00, Mondays to Fridays, prior to the closing date and between 08h30 and 11h00 on the closing date.</w:t>
      </w:r>
    </w:p>
    <w:p>
      <w:pPr>
        <w:spacing w:before="0" w:after="0" w:line="360" w:lineRule="auto"/>
        <w:ind w:left="426" w:hanging="426"/>
        <w:jc w:val="both"/>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All bids must be submitted on the official forms (not to be re-typed).</w:t>
      </w:r>
    </w:p>
    <w:p>
      <w:pPr>
        <w:spacing w:before="0" w:after="0" w:line="360" w:lineRule="auto"/>
        <w:ind w:left="426" w:hanging="426"/>
        <w:rPr>
          <w:sz w:val="20"/>
          <w:szCs w:val="20"/>
        </w:rPr>
      </w:pPr>
    </w:p>
    <w:p>
      <w:pPr>
        <w:numPr>
          <w:ilvl w:val="0"/>
          <w:numId w:val="18"/>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LATE BIDS</w:t>
      </w:r>
    </w:p>
    <w:p>
      <w:pPr>
        <w:spacing w:before="0" w:after="0" w:line="360" w:lineRule="auto"/>
        <w:ind w:left="426"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Bids received late shall not be considered.</w:t>
      </w:r>
      <w:r>
        <w:rPr>
          <w:rFonts w:ascii="Arial" w:eastAsia="Arial" w:hAnsi="Arial" w:cs="Arial"/>
          <w:sz w:val="20"/>
          <w:szCs w:val="20"/>
        </w:rPr>
        <w:t xml:space="preserve">  </w:t>
      </w:r>
      <w:r>
        <w:rPr>
          <w:rFonts w:ascii="Arial" w:eastAsia="Arial" w:hAnsi="Arial" w:cs="Arial"/>
          <w:sz w:val="20"/>
          <w:szCs w:val="20"/>
        </w:rPr>
        <w:t>A bid will be considered late if it arrived only one second after 11h00 or any time thereafter.</w:t>
      </w:r>
      <w:r>
        <w:rPr>
          <w:rFonts w:ascii="Arial" w:eastAsia="Arial" w:hAnsi="Arial" w:cs="Arial"/>
          <w:sz w:val="20"/>
          <w:szCs w:val="20"/>
        </w:rPr>
        <w:t xml:space="preserve">  </w:t>
      </w:r>
      <w:r>
        <w:rPr>
          <w:rFonts w:ascii="Arial" w:eastAsia="Arial" w:hAnsi="Arial" w:cs="Arial"/>
          <w:sz w:val="20"/>
          <w:szCs w:val="20"/>
        </w:rPr>
        <w:t>Bids arriving late will not be considered under any circumstances.</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Bids received late shall be returned unopened to the bidder. </w:t>
      </w:r>
    </w:p>
    <w:p>
      <w:pPr>
        <w:spacing w:before="0" w:after="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Bidders are therefore strongly advised to ensure that bids be despatched allowing enough time for any unforeseen events that may delay the delivery of the bid.</w:t>
      </w:r>
    </w:p>
    <w:p>
      <w:pPr>
        <w:spacing w:before="0" w:after="0" w:line="360" w:lineRule="auto"/>
        <w:ind w:left="426" w:hanging="426"/>
        <w:rPr>
          <w:sz w:val="20"/>
          <w:szCs w:val="20"/>
        </w:rPr>
      </w:pPr>
    </w:p>
    <w:p>
      <w:pPr>
        <w:numPr>
          <w:ilvl w:val="0"/>
          <w:numId w:val="19"/>
        </w:numPr>
        <w:pBdr>
          <w:left w:val="none" w:sz="0" w:space="2" w:color="auto"/>
        </w:pBdr>
        <w:spacing w:before="0" w:after="0" w:line="360" w:lineRule="auto"/>
        <w:ind w:left="426" w:right="0" w:hanging="398"/>
        <w:jc w:val="left"/>
        <w:rPr>
          <w:rFonts w:ascii="Arial" w:eastAsia="Arial" w:hAnsi="Arial" w:cs="Arial"/>
          <w:b/>
          <w:bCs/>
          <w:sz w:val="20"/>
          <w:szCs w:val="20"/>
        </w:rPr>
      </w:pPr>
      <w:r>
        <w:rPr>
          <w:rFonts w:ascii="Arial" w:eastAsia="Arial" w:hAnsi="Arial" w:cs="Arial"/>
          <w:b/>
          <w:bCs/>
          <w:sz w:val="20"/>
          <w:szCs w:val="20"/>
        </w:rPr>
        <w:t>CLARIFICATIONS &amp; COMMUNICATION</w:t>
      </w:r>
    </w:p>
    <w:p>
      <w:pPr>
        <w:spacing w:before="0" w:after="0" w:line="360" w:lineRule="auto"/>
        <w:ind w:left="426" w:hanging="426"/>
        <w:rPr>
          <w:sz w:val="20"/>
          <w:szCs w:val="20"/>
        </w:rPr>
      </w:pPr>
    </w:p>
    <w:p>
      <w:pPr>
        <w:spacing w:before="0" w:after="0" w:line="360" w:lineRule="auto"/>
        <w:ind w:left="426" w:hanging="426"/>
        <w:jc w:val="both"/>
        <w:rPr>
          <w:sz w:val="22"/>
          <w:szCs w:val="22"/>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Any clarification required by a bidder regarding the meaning or interpretation of the Terms of Reference, or any other aspect concerning the bid, is to be requested in writing (e-mail) from </w:t>
      </w:r>
      <w:r>
        <w:rPr>
          <w:rFonts w:ascii="Arial" w:eastAsia="Arial" w:hAnsi="Arial" w:cs="Arial"/>
          <w:sz w:val="20"/>
          <w:szCs w:val="20"/>
        </w:rPr>
        <w:t>Ms</w:t>
      </w:r>
      <w:r>
        <w:rPr>
          <w:rFonts w:ascii="Arial" w:eastAsia="Arial" w:hAnsi="Arial" w:cs="Arial"/>
          <w:sz w:val="20"/>
          <w:szCs w:val="20"/>
        </w:rPr>
        <w:t xml:space="preserve"> </w:t>
      </w:r>
      <w:r>
        <w:rPr>
          <w:rFonts w:ascii="Arial" w:eastAsia="Arial" w:hAnsi="Arial" w:cs="Arial"/>
          <w:sz w:val="20"/>
          <w:szCs w:val="20"/>
        </w:rPr>
        <w:t>Lindiwe Duma</w:t>
      </w:r>
      <w:r>
        <w:rPr>
          <w:rFonts w:ascii="Arial" w:eastAsia="Arial" w:hAnsi="Arial" w:cs="Arial"/>
          <w:sz w:val="20"/>
          <w:szCs w:val="20"/>
        </w:rPr>
        <w:t xml:space="preserve"> at </w:t>
      </w:r>
      <w:hyperlink r:id="rId7" w:history="1">
        <w:r>
          <w:rPr>
            <w:rFonts w:ascii="Arial" w:eastAsia="Arial" w:hAnsi="Arial" w:cs="Arial"/>
            <w:color w:val="0000FF"/>
            <w:sz w:val="20"/>
            <w:szCs w:val="20"/>
            <w:u w:val="single" w:color="0000FF"/>
          </w:rPr>
          <w:t>S</w:t>
        </w:r>
        <w:r>
          <w:rPr>
            <w:rFonts w:ascii="Arial" w:eastAsia="Arial" w:hAnsi="Arial" w:cs="Arial"/>
            <w:color w:val="0000FF"/>
            <w:sz w:val="20"/>
            <w:szCs w:val="20"/>
            <w:u w:val="single" w:color="0000FF"/>
          </w:rPr>
          <w:t>upplychain@inseta.org.za</w:t>
        </w:r>
      </w:hyperlink>
      <w:r>
        <w:rPr>
          <w:rFonts w:ascii="Arial" w:eastAsia="Arial" w:hAnsi="Arial" w:cs="Arial"/>
          <w:sz w:val="20"/>
          <w:szCs w:val="20"/>
        </w:rPr>
        <w:t xml:space="preserve"> by 20 February 2020 at 16H00</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bid number should be mentioned in all correspondence.</w:t>
      </w:r>
      <w:r>
        <w:rPr>
          <w:rFonts w:ascii="Arial" w:eastAsia="Arial" w:hAnsi="Arial" w:cs="Arial"/>
          <w:sz w:val="20"/>
          <w:szCs w:val="20"/>
        </w:rPr>
        <w:t xml:space="preserve">  </w:t>
      </w:r>
      <w:r>
        <w:rPr>
          <w:rFonts w:ascii="Arial" w:eastAsia="Arial" w:hAnsi="Arial" w:cs="Arial"/>
          <w:sz w:val="20"/>
          <w:szCs w:val="20"/>
        </w:rPr>
        <w:t xml:space="preserve">All communication between the Bidder(s) and INSETA must be done in writing. </w:t>
      </w:r>
      <w:r>
        <w:rPr>
          <w:rFonts w:ascii="Arial" w:eastAsia="Arial" w:hAnsi="Arial" w:cs="Arial"/>
          <w:b/>
          <w:bCs/>
          <w:sz w:val="20"/>
          <w:szCs w:val="20"/>
        </w:rPr>
        <w:t>Telephonic requests for clarification will not be accepted</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If appropriate, the clarifying information will be made available to all bidders by e-mail only.</w:t>
      </w:r>
    </w:p>
    <w:p>
      <w:pPr>
        <w:spacing w:before="0" w:after="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communication to an official or a person acting in an advisory capacity for INSETA, other than the official who’s name and contact details is specified in the RFB document,</w:t>
      </w:r>
      <w:r>
        <w:rPr>
          <w:rFonts w:ascii="Arial" w:eastAsia="Arial" w:hAnsi="Arial" w:cs="Arial"/>
          <w:sz w:val="20"/>
          <w:szCs w:val="20"/>
        </w:rPr>
        <w:t xml:space="preserve">  </w:t>
      </w:r>
      <w:r>
        <w:rPr>
          <w:rFonts w:ascii="Arial" w:eastAsia="Arial" w:hAnsi="Arial" w:cs="Arial"/>
          <w:sz w:val="20"/>
          <w:szCs w:val="20"/>
        </w:rPr>
        <w:t>in respect of the bid between the closing date and the award of the bid by the Bidder(s) is discouraged.</w:t>
      </w:r>
      <w:r>
        <w:rPr>
          <w:rFonts w:ascii="Arial" w:eastAsia="Arial" w:hAnsi="Arial" w:cs="Arial"/>
          <w:sz w:val="20"/>
          <w:szCs w:val="20"/>
        </w:rPr>
        <w:t xml:space="preserve">  </w:t>
      </w:r>
    </w:p>
    <w:p>
      <w:pPr>
        <w:spacing w:before="0" w:after="0" w:line="360" w:lineRule="auto"/>
        <w:ind w:left="426" w:hanging="426"/>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Whilst all due care has been taken in connection with the preparation of this bid, INSETA makes no representations or warranties that the content of the bid or any information communicated to or provided to Bidder(s) during the bidding process is, or will be, accurate, current or complete. </w:t>
      </w:r>
      <w:r>
        <w:rPr>
          <w:rFonts w:ascii="Arial" w:eastAsia="Arial" w:hAnsi="Arial" w:cs="Arial"/>
          <w:sz w:val="20"/>
          <w:szCs w:val="20"/>
        </w:rPr>
        <w:t>INSETA,</w:t>
      </w:r>
      <w:r>
        <w:rPr>
          <w:rFonts w:ascii="Arial" w:eastAsia="Arial" w:hAnsi="Arial" w:cs="Arial"/>
          <w:sz w:val="20"/>
          <w:szCs w:val="20"/>
        </w:rPr>
        <w:t xml:space="preserve"> and its employees and advisors will not be liable with respect to any information communicated which may not be accurate, current or complete.</w:t>
      </w:r>
    </w:p>
    <w:p>
      <w:pPr>
        <w:spacing w:before="0" w:after="0" w:line="360" w:lineRule="auto"/>
        <w:ind w:left="426" w:hanging="426"/>
        <w:jc w:val="both"/>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If Bidder(s) finds or reasonably believes it has found any discrepancy, ambiguity, error or inconsistency in this bid or any other information provided by INSETA (other than minor clerical matters), the Bidder(s) must promptly notify INSETA in writing of such discrepancy, ambiguity, error or inconsistency in order to afford INSETA an opportunity to consider what corrective action is necessary (if any).</w:t>
      </w:r>
    </w:p>
    <w:p>
      <w:pPr>
        <w:spacing w:before="0" w:after="0" w:line="360" w:lineRule="auto"/>
        <w:ind w:left="426" w:hanging="426"/>
        <w:jc w:val="both"/>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actual discrepancy, ambiguity, error or inconsistency in the bid or any other information provided by INSETA will, if possible, be corrected and provided to all Bidders.</w:t>
      </w:r>
    </w:p>
    <w:p>
      <w:pPr>
        <w:numPr>
          <w:ilvl w:val="0"/>
          <w:numId w:val="20"/>
        </w:numPr>
        <w:pBdr>
          <w:left w:val="none" w:sz="0" w:space="2" w:color="auto"/>
        </w:pBdr>
        <w:spacing w:before="0" w:after="0" w:line="360" w:lineRule="auto"/>
        <w:ind w:left="426" w:right="0" w:hanging="398"/>
        <w:jc w:val="left"/>
        <w:rPr>
          <w:rFonts w:ascii="Arial" w:eastAsia="Arial" w:hAnsi="Arial" w:cs="Arial"/>
          <w:b/>
          <w:bCs/>
          <w:sz w:val="20"/>
          <w:szCs w:val="20"/>
        </w:rPr>
      </w:pPr>
      <w:r>
        <w:rPr>
          <w:rFonts w:ascii="Arial" w:eastAsia="Arial" w:hAnsi="Arial" w:cs="Arial"/>
          <w:b/>
          <w:bCs/>
          <w:sz w:val="20"/>
          <w:szCs w:val="20"/>
        </w:rPr>
        <w:t>DUE DILIGENCE</w:t>
      </w:r>
    </w:p>
    <w:p>
      <w:pPr>
        <w:spacing w:before="0" w:after="0" w:line="360" w:lineRule="auto"/>
        <w:ind w:left="426"/>
        <w:rPr>
          <w:sz w:val="20"/>
          <w:szCs w:val="20"/>
        </w:rPr>
      </w:pPr>
      <w:r>
        <w:rPr>
          <w:rFonts w:ascii="Arial" w:eastAsia="Arial" w:hAnsi="Arial" w:cs="Arial"/>
          <w:sz w:val="20"/>
          <w:szCs w:val="20"/>
        </w:rPr>
        <w:t>INSETA reserves the right to conduct due diligence on the information submitted by the bidders prior to final award or at any time during the contract period.</w:t>
      </w:r>
    </w:p>
    <w:p>
      <w:pPr>
        <w:spacing w:before="0" w:after="0" w:line="360" w:lineRule="auto"/>
        <w:ind w:left="426" w:hanging="426"/>
        <w:rPr>
          <w:sz w:val="20"/>
          <w:szCs w:val="20"/>
        </w:rPr>
      </w:pPr>
    </w:p>
    <w:p>
      <w:pPr>
        <w:numPr>
          <w:ilvl w:val="0"/>
          <w:numId w:val="21"/>
        </w:numPr>
        <w:pBdr>
          <w:left w:val="none" w:sz="0" w:space="2" w:color="auto"/>
        </w:pBdr>
        <w:spacing w:before="0" w:after="0" w:line="360" w:lineRule="auto"/>
        <w:ind w:left="426" w:right="0" w:hanging="398"/>
        <w:jc w:val="left"/>
        <w:rPr>
          <w:rFonts w:ascii="Arial" w:eastAsia="Arial" w:hAnsi="Arial" w:cs="Arial"/>
          <w:b/>
          <w:bCs/>
          <w:sz w:val="20"/>
          <w:szCs w:val="20"/>
        </w:rPr>
      </w:pPr>
      <w:r>
        <w:rPr>
          <w:rFonts w:ascii="Arial" w:eastAsia="Arial" w:hAnsi="Arial" w:cs="Arial"/>
          <w:b/>
          <w:bCs/>
          <w:sz w:val="20"/>
          <w:szCs w:val="20"/>
        </w:rPr>
        <w:t>MONITORING</w:t>
      </w:r>
    </w:p>
    <w:p>
      <w:pPr>
        <w:spacing w:before="0" w:after="120" w:line="360" w:lineRule="auto"/>
        <w:ind w:left="426"/>
        <w:rPr>
          <w:sz w:val="20"/>
          <w:szCs w:val="20"/>
        </w:rPr>
      </w:pPr>
      <w:r>
        <w:rPr>
          <w:rFonts w:ascii="Arial" w:eastAsia="Arial" w:hAnsi="Arial" w:cs="Arial"/>
          <w:sz w:val="20"/>
          <w:szCs w:val="20"/>
        </w:rPr>
        <w:t>INSETA reserves the right to conduct monitoring and evaluation at any stage of the contract.</w:t>
      </w:r>
    </w:p>
    <w:p>
      <w:pPr>
        <w:widowControl w:val="0"/>
        <w:spacing w:before="0" w:after="0" w:line="276" w:lineRule="auto"/>
        <w:rPr>
          <w:sz w:val="20"/>
          <w:szCs w:val="20"/>
        </w:rPr>
      </w:pPr>
    </w:p>
    <w:p>
      <w:pPr>
        <w:widowControl w:val="0"/>
        <w:spacing w:before="0" w:after="0" w:line="276" w:lineRule="auto"/>
        <w:rPr>
          <w:sz w:val="20"/>
          <w:szCs w:val="20"/>
        </w:rPr>
      </w:pPr>
    </w:p>
    <w:p>
      <w:pPr>
        <w:widowControl w:val="0"/>
        <w:spacing w:before="0" w:after="0" w:line="276" w:lineRule="auto"/>
        <w:rPr>
          <w:sz w:val="20"/>
          <w:szCs w:val="20"/>
        </w:rPr>
      </w:pPr>
      <w:r>
        <w:rPr>
          <w:rFonts w:ascii="Arial" w:eastAsia="Arial" w:hAnsi="Arial" w:cs="Arial"/>
          <w:b/>
          <w:bCs/>
          <w:sz w:val="20"/>
          <w:szCs w:val="20"/>
        </w:rPr>
        <w:t>TERMS OF REFERENCE (TOR)</w:t>
      </w:r>
    </w:p>
    <w:p>
      <w:pPr>
        <w:widowControl w:val="0"/>
        <w:spacing w:before="0" w:after="0" w:line="276" w:lineRule="auto"/>
        <w:rPr>
          <w:sz w:val="20"/>
          <w:szCs w:val="20"/>
        </w:rPr>
      </w:pPr>
    </w:p>
    <w:p>
      <w:pPr>
        <w:spacing w:before="0" w:after="0" w:line="360" w:lineRule="auto"/>
        <w:ind w:left="502" w:hanging="360"/>
        <w:rPr>
          <w:sz w:val="20"/>
          <w:szCs w:val="20"/>
        </w:rPr>
      </w:pPr>
      <w:r>
        <w:rPr>
          <w:rFonts w:ascii="Arial" w:eastAsia="Arial" w:hAnsi="Arial" w:cs="Arial"/>
          <w:b/>
          <w:bCs/>
          <w:sz w:val="20"/>
          <w:szCs w:val="20"/>
        </w:rPr>
        <w:t>13.1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BACKGROUND TO INSETA</w:t>
      </w:r>
    </w:p>
    <w:p>
      <w:pPr>
        <w:spacing w:before="0" w:after="0" w:line="360" w:lineRule="auto"/>
        <w:ind w:left="1222"/>
        <w:jc w:val="both"/>
        <w:rPr>
          <w:sz w:val="20"/>
          <w:szCs w:val="20"/>
        </w:rPr>
      </w:pPr>
      <w:r>
        <w:rPr>
          <w:rFonts w:ascii="Arial" w:eastAsia="Arial" w:hAnsi="Arial" w:cs="Arial"/>
          <w:sz w:val="20"/>
          <w:szCs w:val="20"/>
        </w:rPr>
        <w:t>INSETA is one of 21 Sector Education and Training Authorities (SETAs) in South Africa.</w:t>
      </w:r>
      <w:r>
        <w:rPr>
          <w:rFonts w:ascii="Arial" w:eastAsia="Arial" w:hAnsi="Arial" w:cs="Arial"/>
          <w:sz w:val="20"/>
          <w:szCs w:val="20"/>
        </w:rPr>
        <w:t xml:space="preserve">  </w:t>
      </w:r>
      <w:r>
        <w:rPr>
          <w:rFonts w:ascii="Arial" w:eastAsia="Arial" w:hAnsi="Arial" w:cs="Arial"/>
          <w:sz w:val="20"/>
          <w:szCs w:val="20"/>
        </w:rPr>
        <w:t>INSETA is responsible for skills development within the insurance sector.</w:t>
      </w:r>
      <w:r>
        <w:rPr>
          <w:rFonts w:ascii="Arial" w:eastAsia="Arial" w:hAnsi="Arial" w:cs="Arial"/>
          <w:sz w:val="20"/>
          <w:szCs w:val="20"/>
        </w:rPr>
        <w:t xml:space="preserve">  </w:t>
      </w:r>
      <w:r>
        <w:rPr>
          <w:rFonts w:ascii="Arial" w:eastAsia="Arial" w:hAnsi="Arial" w:cs="Arial"/>
          <w:sz w:val="20"/>
          <w:szCs w:val="20"/>
        </w:rPr>
        <w:t>INSETA is mandated to perform in accordance with the Skills Development Act (SDA), the Skills Development Levies Act (SDLA), the Public Finance Management Act (PFMA), any other relevant legislation and the INSETA constitution.</w:t>
      </w:r>
    </w:p>
    <w:p>
      <w:pPr>
        <w:spacing w:before="0" w:after="120" w:line="276" w:lineRule="auto"/>
        <w:rPr>
          <w:sz w:val="20"/>
          <w:szCs w:val="20"/>
        </w:rPr>
      </w:pPr>
    </w:p>
    <w:p>
      <w:pPr>
        <w:spacing w:before="0" w:after="120" w:line="276" w:lineRule="auto"/>
        <w:ind w:left="502" w:hanging="360"/>
        <w:rPr>
          <w:sz w:val="20"/>
          <w:szCs w:val="20"/>
        </w:rPr>
      </w:pPr>
      <w:r>
        <w:rPr>
          <w:rFonts w:ascii="Arial" w:eastAsia="Arial" w:hAnsi="Arial" w:cs="Arial"/>
          <w:b/>
          <w:bCs/>
          <w:sz w:val="20"/>
          <w:szCs w:val="20"/>
        </w:rPr>
        <w:t>13.2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PURPOSE</w:t>
      </w:r>
    </w:p>
    <w:p>
      <w:pPr>
        <w:spacing w:before="0" w:after="120" w:line="360" w:lineRule="auto"/>
        <w:ind w:left="720"/>
        <w:jc w:val="both"/>
        <w:rPr>
          <w:sz w:val="20"/>
          <w:szCs w:val="20"/>
        </w:rPr>
      </w:pPr>
      <w:r>
        <w:rPr>
          <w:rFonts w:ascii="Arial" w:eastAsia="Arial" w:hAnsi="Arial" w:cs="Arial"/>
          <w:sz w:val="20"/>
          <w:szCs w:val="20"/>
        </w:rPr>
        <w:t>Through this ToR, INSETA seeks to appoint Training Provider</w:t>
      </w:r>
      <w:r>
        <w:rPr>
          <w:rFonts w:ascii="Arial" w:eastAsia="Arial" w:hAnsi="Arial" w:cs="Arial"/>
          <w:sz w:val="20"/>
          <w:szCs w:val="20"/>
        </w:rPr>
        <w:t>(s)</w:t>
      </w:r>
      <w:r>
        <w:rPr>
          <w:rFonts w:ascii="Arial" w:eastAsia="Arial" w:hAnsi="Arial" w:cs="Arial"/>
          <w:sz w:val="20"/>
          <w:szCs w:val="20"/>
        </w:rPr>
        <w:t xml:space="preserve"> </w:t>
      </w:r>
      <w:r>
        <w:rPr>
          <w:rFonts w:ascii="Arial" w:eastAsia="Arial" w:hAnsi="Arial" w:cs="Arial"/>
          <w:sz w:val="20"/>
          <w:szCs w:val="20"/>
        </w:rPr>
        <w:t>that possess</w:t>
      </w:r>
      <w:r>
        <w:rPr>
          <w:rFonts w:ascii="Arial" w:eastAsia="Arial" w:hAnsi="Arial" w:cs="Arial"/>
          <w:sz w:val="20"/>
          <w:szCs w:val="20"/>
        </w:rPr>
        <w:t xml:space="preserve"> valid INSETA program accreditation for </w:t>
      </w:r>
      <w:r>
        <w:rPr>
          <w:rFonts w:ascii="Arial" w:eastAsia="Arial" w:hAnsi="Arial" w:cs="Arial"/>
          <w:sz w:val="20"/>
          <w:szCs w:val="20"/>
        </w:rPr>
        <w:t>Short Term Insurance</w:t>
      </w:r>
      <w:r>
        <w:rPr>
          <w:rFonts w:ascii="Arial" w:eastAsia="Arial" w:hAnsi="Arial" w:cs="Arial"/>
          <w:sz w:val="20"/>
          <w:szCs w:val="20"/>
        </w:rPr>
        <w:t xml:space="preserve"> </w:t>
      </w:r>
      <w:r>
        <w:rPr>
          <w:rFonts w:ascii="Arial" w:eastAsia="Arial" w:hAnsi="Arial" w:cs="Arial"/>
          <w:sz w:val="20"/>
          <w:szCs w:val="20"/>
        </w:rPr>
        <w:t>NQF Level 4 (</w:t>
      </w:r>
      <w:r>
        <w:rPr>
          <w:rFonts w:ascii="Arial" w:eastAsia="Arial" w:hAnsi="Arial" w:cs="Arial"/>
          <w:sz w:val="20"/>
          <w:szCs w:val="20"/>
        </w:rPr>
        <w:t>49929</w:t>
      </w:r>
      <w:r>
        <w:rPr>
          <w:rFonts w:ascii="Arial" w:eastAsia="Arial" w:hAnsi="Arial" w:cs="Arial"/>
          <w:sz w:val="20"/>
          <w:szCs w:val="20"/>
        </w:rPr>
        <w:t>)</w:t>
      </w:r>
      <w:r>
        <w:rPr>
          <w:rFonts w:ascii="Arial" w:eastAsia="Arial" w:hAnsi="Arial" w:cs="Arial"/>
          <w:sz w:val="20"/>
          <w:szCs w:val="20"/>
        </w:rPr>
        <w:t xml:space="preserve"> to deliver a </w:t>
      </w:r>
      <w:r>
        <w:rPr>
          <w:rFonts w:ascii="Arial" w:eastAsia="Arial" w:hAnsi="Arial" w:cs="Arial"/>
          <w:sz w:val="20"/>
          <w:szCs w:val="20"/>
        </w:rPr>
        <w:t>FISA p</w:t>
      </w:r>
      <w:r>
        <w:rPr>
          <w:rFonts w:ascii="Arial" w:eastAsia="Arial" w:hAnsi="Arial" w:cs="Arial"/>
          <w:sz w:val="20"/>
          <w:szCs w:val="20"/>
        </w:rPr>
        <w:t>ilot.</w:t>
      </w:r>
    </w:p>
    <w:p>
      <w:pPr>
        <w:spacing w:before="0" w:after="120" w:line="276" w:lineRule="auto"/>
        <w:ind w:left="720"/>
        <w:rPr>
          <w:sz w:val="20"/>
          <w:szCs w:val="20"/>
        </w:rPr>
      </w:pPr>
      <w:r>
        <w:rPr>
          <w:rFonts w:ascii="Arial" w:eastAsia="Arial" w:hAnsi="Arial" w:cs="Arial"/>
          <w:sz w:val="20"/>
          <w:szCs w:val="20"/>
        </w:rPr>
        <w:t>The Training Provider must:</w:t>
      </w:r>
    </w:p>
    <w:p>
      <w:pPr>
        <w:numPr>
          <w:ilvl w:val="0"/>
          <w:numId w:val="22"/>
        </w:numPr>
        <w:pBdr>
          <w:left w:val="none" w:sz="0" w:space="8" w:color="auto"/>
        </w:pBdr>
        <w:spacing w:before="0" w:after="120" w:line="276" w:lineRule="auto"/>
        <w:ind w:left="1494" w:right="0" w:hanging="424"/>
        <w:jc w:val="left"/>
        <w:rPr>
          <w:rFonts w:ascii="Times New Roman" w:eastAsia="Times New Roman" w:hAnsi="Times New Roman" w:cs="Times New Roman"/>
          <w:sz w:val="20"/>
          <w:szCs w:val="20"/>
        </w:rPr>
      </w:pPr>
      <w:r>
        <w:rPr>
          <w:rFonts w:ascii="Arial" w:eastAsia="Arial" w:hAnsi="Arial" w:cs="Arial"/>
          <w:sz w:val="20"/>
          <w:szCs w:val="20"/>
        </w:rPr>
        <w:t xml:space="preserve">Be in possession of a valid INSETA program accreditation for the qualification </w:t>
      </w:r>
      <w:r>
        <w:rPr>
          <w:rFonts w:ascii="Arial" w:eastAsia="Arial" w:hAnsi="Arial" w:cs="Arial"/>
          <w:sz w:val="20"/>
          <w:szCs w:val="20"/>
        </w:rPr>
        <w:t>Short Term Insurance</w:t>
      </w:r>
      <w:r>
        <w:rPr>
          <w:rFonts w:ascii="Arial" w:eastAsia="Arial" w:hAnsi="Arial" w:cs="Arial"/>
          <w:sz w:val="20"/>
          <w:szCs w:val="20"/>
        </w:rPr>
        <w:t xml:space="preserve"> </w:t>
      </w:r>
      <w:r>
        <w:rPr>
          <w:rFonts w:ascii="Arial" w:eastAsia="Arial" w:hAnsi="Arial" w:cs="Arial"/>
          <w:sz w:val="20"/>
          <w:szCs w:val="20"/>
        </w:rPr>
        <w:t>NQF Level 4 (</w:t>
      </w:r>
      <w:r>
        <w:rPr>
          <w:rFonts w:ascii="Arial" w:eastAsia="Arial" w:hAnsi="Arial" w:cs="Arial"/>
          <w:sz w:val="20"/>
          <w:szCs w:val="20"/>
        </w:rPr>
        <w:t>49929</w:t>
      </w:r>
      <w:r>
        <w:rPr>
          <w:rFonts w:ascii="Arial" w:eastAsia="Arial" w:hAnsi="Arial" w:cs="Arial"/>
          <w:sz w:val="20"/>
          <w:szCs w:val="20"/>
        </w:rPr>
        <w:t>).</w:t>
      </w:r>
    </w:p>
    <w:p>
      <w:pPr>
        <w:numPr>
          <w:ilvl w:val="0"/>
          <w:numId w:val="22"/>
        </w:numPr>
        <w:pBdr>
          <w:left w:val="none" w:sz="0" w:space="8" w:color="auto"/>
        </w:pBdr>
        <w:spacing w:after="120" w:line="276" w:lineRule="auto"/>
        <w:ind w:left="1494" w:right="0" w:hanging="424"/>
        <w:jc w:val="left"/>
        <w:rPr>
          <w:rFonts w:ascii="Times New Roman" w:eastAsia="Times New Roman" w:hAnsi="Times New Roman" w:cs="Times New Roman"/>
          <w:sz w:val="20"/>
          <w:szCs w:val="20"/>
        </w:rPr>
      </w:pPr>
      <w:r>
        <w:rPr>
          <w:rFonts w:ascii="Arial" w:eastAsia="Arial" w:hAnsi="Arial" w:cs="Arial"/>
          <w:sz w:val="20"/>
          <w:szCs w:val="20"/>
        </w:rPr>
        <w:t>Be in possession of a valid Quality Council for Trades and Occupations (QCTO) accreditation as a training provider for any Occupational Qualification.</w:t>
      </w:r>
    </w:p>
    <w:p>
      <w:pPr>
        <w:numPr>
          <w:ilvl w:val="0"/>
          <w:numId w:val="22"/>
        </w:numPr>
        <w:pBdr>
          <w:left w:val="none" w:sz="0" w:space="8" w:color="auto"/>
        </w:pBdr>
        <w:spacing w:after="120" w:line="276" w:lineRule="auto"/>
        <w:ind w:left="1494" w:right="0" w:hanging="424"/>
        <w:jc w:val="left"/>
        <w:rPr>
          <w:rFonts w:ascii="Times New Roman" w:eastAsia="Times New Roman" w:hAnsi="Times New Roman" w:cs="Times New Roman"/>
          <w:sz w:val="20"/>
          <w:szCs w:val="20"/>
        </w:rPr>
      </w:pPr>
      <w:bookmarkStart w:id="2" w:name="_Hlk32310625"/>
      <w:r>
        <w:rPr>
          <w:rFonts w:ascii="Arial" w:eastAsia="Arial" w:hAnsi="Arial" w:cs="Arial"/>
          <w:sz w:val="20"/>
          <w:szCs w:val="20"/>
        </w:rPr>
        <w:t xml:space="preserve">Demonstrate capacity and availability of resources to </w:t>
      </w:r>
      <w:r>
        <w:rPr>
          <w:rFonts w:ascii="Arial" w:eastAsia="Arial" w:hAnsi="Arial" w:cs="Arial"/>
          <w:sz w:val="20"/>
          <w:szCs w:val="20"/>
        </w:rPr>
        <w:t>prepare (i.e. revision, exam packs etc) learners for FISA</w:t>
      </w:r>
      <w:r>
        <w:rPr>
          <w:rFonts w:ascii="Arial" w:eastAsia="Arial" w:hAnsi="Arial" w:cs="Arial"/>
          <w:sz w:val="20"/>
          <w:szCs w:val="20"/>
        </w:rPr>
        <w:t>.</w:t>
      </w:r>
      <w:bookmarkEnd w:id="2"/>
      <w:r>
        <w:rPr>
          <w:rFonts w:ascii="Arial" w:eastAsia="Arial" w:hAnsi="Arial" w:cs="Arial"/>
          <w:sz w:val="20"/>
          <w:szCs w:val="20"/>
        </w:rPr>
        <w:t xml:space="preserve"> </w:t>
      </w:r>
    </w:p>
    <w:p>
      <w:pPr>
        <w:numPr>
          <w:ilvl w:val="0"/>
          <w:numId w:val="22"/>
        </w:numPr>
        <w:pBdr>
          <w:left w:val="none" w:sz="0" w:space="8" w:color="auto"/>
        </w:pBdr>
        <w:spacing w:after="120" w:line="276" w:lineRule="auto"/>
        <w:ind w:left="1494" w:right="0" w:hanging="424"/>
        <w:jc w:val="left"/>
        <w:rPr>
          <w:rFonts w:ascii="Times New Roman" w:eastAsia="Times New Roman" w:hAnsi="Times New Roman" w:cs="Times New Roman"/>
          <w:sz w:val="20"/>
          <w:szCs w:val="20"/>
        </w:rPr>
      </w:pPr>
      <w:r>
        <w:rPr>
          <w:rFonts w:ascii="Arial" w:eastAsia="Arial" w:hAnsi="Arial" w:cs="Arial"/>
          <w:sz w:val="20"/>
          <w:szCs w:val="20"/>
        </w:rPr>
        <w:t xml:space="preserve">Demonstrate capacity and availability of resources </w:t>
      </w:r>
      <w:r>
        <w:rPr>
          <w:rFonts w:ascii="Arial" w:eastAsia="Arial" w:hAnsi="Arial" w:cs="Arial"/>
          <w:sz w:val="20"/>
          <w:szCs w:val="20"/>
        </w:rPr>
        <w:t>to host FISA examinations (e.g. venue, invigilation services, storage of scripts, distribution of scripts</w:t>
      </w:r>
      <w:r>
        <w:rPr>
          <w:rFonts w:ascii="Arial" w:eastAsia="Arial" w:hAnsi="Arial" w:cs="Arial"/>
          <w:sz w:val="20"/>
          <w:szCs w:val="20"/>
        </w:rPr>
        <w:t>, distribution of certificates post-script marking</w:t>
      </w:r>
      <w:r>
        <w:rPr>
          <w:rFonts w:ascii="Arial" w:eastAsia="Arial" w:hAnsi="Arial" w:cs="Arial"/>
          <w:sz w:val="20"/>
          <w:szCs w:val="20"/>
        </w:rPr>
        <w:t xml:space="preserve"> etc)</w:t>
      </w:r>
      <w:r>
        <w:rPr>
          <w:rFonts w:ascii="Arial" w:eastAsia="Arial" w:hAnsi="Arial" w:cs="Arial"/>
          <w:sz w:val="20"/>
          <w:szCs w:val="20"/>
        </w:rPr>
        <w:t>.</w:t>
      </w:r>
    </w:p>
    <w:p>
      <w:pPr>
        <w:spacing w:before="0" w:after="120" w:line="276" w:lineRule="auto"/>
        <w:ind w:left="1494"/>
        <w:rPr>
          <w:sz w:val="20"/>
          <w:szCs w:val="20"/>
        </w:rPr>
      </w:pPr>
      <w:r>
        <w:rPr>
          <w:rFonts w:ascii="Arial" w:eastAsia="Arial" w:hAnsi="Arial" w:cs="Arial"/>
          <w:b/>
          <w:bCs/>
          <w:sz w:val="20"/>
          <w:szCs w:val="20"/>
        </w:rPr>
        <w:t>NB:</w:t>
      </w:r>
      <w:r>
        <w:rPr>
          <w:rFonts w:ascii="Arial" w:eastAsia="Arial" w:hAnsi="Arial" w:cs="Arial"/>
          <w:b/>
          <w:bCs/>
          <w:sz w:val="20"/>
          <w:szCs w:val="20"/>
        </w:rPr>
        <w:t xml:space="preserve"> </w:t>
      </w:r>
      <w:r>
        <w:rPr>
          <w:rFonts w:ascii="Arial" w:eastAsia="Arial" w:hAnsi="Arial" w:cs="Arial"/>
          <w:sz w:val="20"/>
          <w:szCs w:val="20"/>
        </w:rPr>
        <w:t>FISA examination script marking will be conducted by INSETA.</w:t>
      </w:r>
      <w:r>
        <w:rPr>
          <w:rFonts w:ascii="Arial" w:eastAsia="Arial" w:hAnsi="Arial" w:cs="Arial"/>
          <w:b/>
          <w:bCs/>
          <w:sz w:val="20"/>
          <w:szCs w:val="20"/>
        </w:rPr>
        <w:t xml:space="preserve"> </w:t>
      </w:r>
    </w:p>
    <w:p>
      <w:pPr>
        <w:spacing w:before="0" w:after="0" w:line="276" w:lineRule="auto"/>
        <w:ind w:left="1418"/>
        <w:rPr>
          <w:sz w:val="20"/>
          <w:szCs w:val="20"/>
        </w:rPr>
      </w:pPr>
    </w:p>
    <w:p>
      <w:pPr>
        <w:spacing w:before="0" w:after="0" w:line="276" w:lineRule="auto"/>
        <w:ind w:left="1418"/>
        <w:rPr>
          <w:sz w:val="20"/>
          <w:szCs w:val="20"/>
        </w:rPr>
      </w:pPr>
    </w:p>
    <w:p>
      <w:pPr>
        <w:spacing w:before="0" w:after="0" w:line="276" w:lineRule="auto"/>
        <w:rPr>
          <w:sz w:val="20"/>
          <w:szCs w:val="20"/>
        </w:rPr>
      </w:pPr>
      <w:r>
        <w:rPr>
          <w:sz w:val="20"/>
          <w:szCs w:val="20"/>
        </w:rPr>
        <w:br w:type="page"/>
      </w:r>
    </w:p>
    <w:p>
      <w:pPr>
        <w:spacing w:before="0" w:after="120" w:line="276" w:lineRule="auto"/>
        <w:ind w:left="502" w:hanging="371"/>
        <w:rPr>
          <w:sz w:val="20"/>
          <w:szCs w:val="20"/>
        </w:rPr>
      </w:pPr>
      <w:r>
        <w:rPr>
          <w:rFonts w:ascii="Arial" w:eastAsia="Arial" w:hAnsi="Arial" w:cs="Arial"/>
          <w:b/>
          <w:bCs/>
          <w:sz w:val="20"/>
          <w:szCs w:val="20"/>
        </w:rPr>
        <w:t>13.3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PROJECT BACKGROUND</w:t>
      </w:r>
    </w:p>
    <w:p>
      <w:pPr>
        <w:numPr>
          <w:ilvl w:val="0"/>
          <w:numId w:val="23"/>
        </w:numPr>
        <w:pBdr>
          <w:left w:val="none" w:sz="0" w:space="8" w:color="auto"/>
        </w:pBdr>
        <w:spacing w:before="0" w:after="120" w:line="276" w:lineRule="auto"/>
        <w:ind w:left="1352" w:right="0" w:hanging="424"/>
        <w:jc w:val="left"/>
        <w:rPr>
          <w:rFonts w:ascii="Times New Roman" w:eastAsia="Times New Roman" w:hAnsi="Times New Roman" w:cs="Times New Roman"/>
          <w:sz w:val="20"/>
          <w:szCs w:val="20"/>
        </w:rPr>
      </w:pPr>
      <w:r>
        <w:rPr>
          <w:rFonts w:ascii="Arial" w:eastAsia="Arial" w:hAnsi="Arial" w:cs="Arial"/>
          <w:sz w:val="20"/>
          <w:szCs w:val="20"/>
        </w:rPr>
        <w:t>INSETA has been delegated as the Quality Assessment Partner (QAP) function by the QCTO to Quality Assure various supervised exit assessments and to act as an examining body for legacy qualifications.</w:t>
      </w:r>
    </w:p>
    <w:p>
      <w:pPr>
        <w:numPr>
          <w:ilvl w:val="0"/>
          <w:numId w:val="23"/>
        </w:numPr>
        <w:pBdr>
          <w:left w:val="none" w:sz="0" w:space="8" w:color="auto"/>
        </w:pBdr>
        <w:spacing w:after="120" w:line="360" w:lineRule="auto"/>
        <w:ind w:left="1352" w:right="0" w:hanging="424"/>
        <w:jc w:val="both"/>
        <w:rPr>
          <w:rFonts w:ascii="Times New Roman" w:eastAsia="Times New Roman" w:hAnsi="Times New Roman" w:cs="Times New Roman"/>
          <w:sz w:val="20"/>
          <w:szCs w:val="20"/>
        </w:rPr>
      </w:pPr>
      <w:r>
        <w:rPr>
          <w:rFonts w:ascii="Arial" w:eastAsia="Arial" w:hAnsi="Arial" w:cs="Arial"/>
          <w:sz w:val="20"/>
          <w:szCs w:val="20"/>
        </w:rPr>
        <w:t>INSETA is funding</w:t>
      </w:r>
      <w:r>
        <w:rPr>
          <w:rFonts w:ascii="Arial" w:eastAsia="Arial" w:hAnsi="Arial" w:cs="Arial"/>
          <w:sz w:val="20"/>
          <w:szCs w:val="20"/>
        </w:rPr>
        <w:t xml:space="preserve"> the</w:t>
      </w:r>
      <w:r>
        <w:rPr>
          <w:rFonts w:ascii="Arial" w:eastAsia="Arial" w:hAnsi="Arial" w:cs="Arial"/>
          <w:sz w:val="20"/>
          <w:szCs w:val="20"/>
        </w:rPr>
        <w:t xml:space="preserve"> implementation of a pilot </w:t>
      </w:r>
      <w:r>
        <w:rPr>
          <w:rFonts w:ascii="Arial" w:eastAsia="Arial" w:hAnsi="Arial" w:cs="Arial"/>
          <w:sz w:val="20"/>
          <w:szCs w:val="20"/>
        </w:rPr>
        <w:t xml:space="preserve">FISA </w:t>
      </w:r>
      <w:r>
        <w:rPr>
          <w:rFonts w:ascii="Arial" w:eastAsia="Arial" w:hAnsi="Arial" w:cs="Arial"/>
          <w:sz w:val="20"/>
          <w:szCs w:val="20"/>
        </w:rPr>
        <w:t xml:space="preserve">project for the </w:t>
      </w:r>
      <w:r>
        <w:rPr>
          <w:rFonts w:ascii="Arial" w:eastAsia="Arial" w:hAnsi="Arial" w:cs="Arial"/>
          <w:sz w:val="20"/>
          <w:szCs w:val="20"/>
        </w:rPr>
        <w:t>Short</w:t>
      </w:r>
      <w:r>
        <w:rPr>
          <w:rFonts w:ascii="Arial" w:eastAsia="Arial" w:hAnsi="Arial" w:cs="Arial"/>
          <w:sz w:val="20"/>
          <w:szCs w:val="20"/>
        </w:rPr>
        <w:t>-</w:t>
      </w:r>
      <w:r>
        <w:rPr>
          <w:rFonts w:ascii="Arial" w:eastAsia="Arial" w:hAnsi="Arial" w:cs="Arial"/>
          <w:sz w:val="20"/>
          <w:szCs w:val="20"/>
        </w:rPr>
        <w:t>Term Insurance</w:t>
      </w:r>
      <w:r>
        <w:rPr>
          <w:rFonts w:ascii="Arial" w:eastAsia="Arial" w:hAnsi="Arial" w:cs="Arial"/>
          <w:sz w:val="20"/>
          <w:szCs w:val="20"/>
        </w:rPr>
        <w:t xml:space="preserve"> </w:t>
      </w:r>
      <w:r>
        <w:rPr>
          <w:rFonts w:ascii="Arial" w:eastAsia="Arial" w:hAnsi="Arial" w:cs="Arial"/>
          <w:sz w:val="20"/>
          <w:szCs w:val="20"/>
        </w:rPr>
        <w:t>NQF Level 4 (</w:t>
      </w:r>
      <w:r>
        <w:rPr>
          <w:rFonts w:ascii="Arial" w:eastAsia="Arial" w:hAnsi="Arial" w:cs="Arial"/>
          <w:sz w:val="20"/>
          <w:szCs w:val="20"/>
        </w:rPr>
        <w:t>49929</w:t>
      </w:r>
      <w:r>
        <w:rPr>
          <w:rFonts w:ascii="Arial" w:eastAsia="Arial" w:hAnsi="Arial" w:cs="Arial"/>
          <w:sz w:val="20"/>
          <w:szCs w:val="20"/>
        </w:rPr>
        <w:t>) qualification</w:t>
      </w:r>
      <w:r>
        <w:rPr>
          <w:rFonts w:ascii="Arial" w:eastAsia="Arial" w:hAnsi="Arial" w:cs="Arial"/>
          <w:sz w:val="20"/>
          <w:szCs w:val="20"/>
        </w:rPr>
        <w:t>.</w:t>
      </w:r>
      <w:r>
        <w:rPr>
          <w:rFonts w:ascii="Arial" w:eastAsia="Arial" w:hAnsi="Arial" w:cs="Arial"/>
          <w:sz w:val="20"/>
          <w:szCs w:val="20"/>
        </w:rPr>
        <w:t xml:space="preserve">  </w:t>
      </w:r>
    </w:p>
    <w:p>
      <w:pPr>
        <w:numPr>
          <w:ilvl w:val="0"/>
          <w:numId w:val="23"/>
        </w:numPr>
        <w:pBdr>
          <w:left w:val="none" w:sz="0" w:space="8" w:color="auto"/>
        </w:pBdr>
        <w:spacing w:after="120" w:line="360" w:lineRule="auto"/>
        <w:ind w:left="1352" w:right="0" w:hanging="424"/>
        <w:jc w:val="both"/>
        <w:rPr>
          <w:rFonts w:ascii="Times New Roman" w:eastAsia="Times New Roman" w:hAnsi="Times New Roman" w:cs="Times New Roman"/>
          <w:sz w:val="20"/>
          <w:szCs w:val="20"/>
        </w:rPr>
      </w:pPr>
      <w:r>
        <w:rPr>
          <w:rFonts w:ascii="Arial" w:eastAsia="Arial" w:hAnsi="Arial" w:cs="Arial"/>
          <w:sz w:val="20"/>
          <w:szCs w:val="20"/>
        </w:rPr>
        <w:t xml:space="preserve">Due to the nature of the FISA entry requirements, the Training Provider/s that is/are awarded the contract must prove capacity </w:t>
      </w:r>
      <w:r>
        <w:rPr>
          <w:rFonts w:ascii="Arial" w:eastAsia="Arial" w:hAnsi="Arial" w:cs="Arial"/>
          <w:sz w:val="20"/>
          <w:szCs w:val="20"/>
        </w:rPr>
        <w:t xml:space="preserve">to host exit examinations </w:t>
      </w:r>
      <w:r>
        <w:rPr>
          <w:rFonts w:ascii="Arial" w:eastAsia="Arial" w:hAnsi="Arial" w:cs="Arial"/>
          <w:sz w:val="20"/>
          <w:szCs w:val="20"/>
        </w:rPr>
        <w:t xml:space="preserve">and </w:t>
      </w:r>
      <w:r>
        <w:rPr>
          <w:rFonts w:ascii="Arial" w:eastAsia="Arial" w:hAnsi="Arial" w:cs="Arial"/>
          <w:sz w:val="20"/>
          <w:szCs w:val="20"/>
        </w:rPr>
        <w:t>to deliver on the administration of the FISA</w:t>
      </w:r>
      <w:r>
        <w:rPr>
          <w:rFonts w:ascii="Arial" w:eastAsia="Arial" w:hAnsi="Arial" w:cs="Arial"/>
          <w:sz w:val="20"/>
          <w:szCs w:val="20"/>
        </w:rPr>
        <w:t xml:space="preserve">. The duration of the </w:t>
      </w:r>
      <w:r>
        <w:rPr>
          <w:rFonts w:ascii="Arial" w:eastAsia="Arial" w:hAnsi="Arial" w:cs="Arial"/>
          <w:sz w:val="20"/>
          <w:szCs w:val="20"/>
        </w:rPr>
        <w:t xml:space="preserve">FISA </w:t>
      </w:r>
      <w:r>
        <w:rPr>
          <w:rFonts w:ascii="Arial" w:eastAsia="Arial" w:hAnsi="Arial" w:cs="Arial"/>
          <w:sz w:val="20"/>
          <w:szCs w:val="20"/>
        </w:rPr>
        <w:t>pilot will be fifteen (15)</w:t>
      </w:r>
      <w:r>
        <w:rPr>
          <w:rFonts w:ascii="Arial" w:eastAsia="Arial" w:hAnsi="Arial" w:cs="Arial"/>
          <w:sz w:val="20"/>
          <w:szCs w:val="20"/>
        </w:rPr>
        <w:t xml:space="preserve"> months</w:t>
      </w:r>
      <w:r>
        <w:rPr>
          <w:rFonts w:ascii="Arial" w:eastAsia="Arial" w:hAnsi="Arial" w:cs="Arial"/>
          <w:sz w:val="20"/>
          <w:szCs w:val="20"/>
        </w:rPr>
        <w:t>.</w:t>
      </w:r>
    </w:p>
    <w:p>
      <w:pPr>
        <w:numPr>
          <w:ilvl w:val="0"/>
          <w:numId w:val="23"/>
        </w:numPr>
        <w:pBdr>
          <w:left w:val="none" w:sz="0" w:space="8" w:color="auto"/>
        </w:pBdr>
        <w:spacing w:after="120" w:line="360" w:lineRule="auto"/>
        <w:ind w:left="1352" w:right="0" w:hanging="424"/>
        <w:jc w:val="both"/>
        <w:rPr>
          <w:rFonts w:ascii="Times New Roman" w:eastAsia="Times New Roman" w:hAnsi="Times New Roman" w:cs="Times New Roman"/>
          <w:sz w:val="20"/>
          <w:szCs w:val="20"/>
        </w:rPr>
      </w:pPr>
      <w:r>
        <w:rPr>
          <w:rFonts w:ascii="Arial" w:eastAsia="Arial" w:hAnsi="Arial" w:cs="Arial"/>
          <w:sz w:val="20"/>
          <w:szCs w:val="20"/>
        </w:rPr>
        <w:t xml:space="preserve">A total estimate number of </w:t>
      </w:r>
      <w:r>
        <w:rPr>
          <w:rFonts w:ascii="Arial" w:eastAsia="Arial" w:hAnsi="Arial" w:cs="Arial"/>
          <w:sz w:val="20"/>
          <w:szCs w:val="20"/>
        </w:rPr>
        <w:t>8</w:t>
      </w:r>
      <w:r>
        <w:rPr>
          <w:rFonts w:ascii="Arial" w:eastAsia="Arial" w:hAnsi="Arial" w:cs="Arial"/>
          <w:sz w:val="20"/>
          <w:szCs w:val="20"/>
        </w:rPr>
        <w:t>00 learners will be funded for this project. A training provider must indicate the number of learners they are bidding. (</w:t>
      </w:r>
      <w:bookmarkStart w:id="3" w:name="_Hlk32317695"/>
      <w:r>
        <w:rPr>
          <w:rFonts w:ascii="Arial" w:eastAsia="Arial" w:hAnsi="Arial" w:cs="Arial"/>
          <w:sz w:val="20"/>
          <w:szCs w:val="20"/>
        </w:rPr>
        <w:t>INSETA reserves the right to reduce number learners proposed by a Training Provider subject to available budget</w:t>
      </w:r>
      <w:bookmarkEnd w:id="3"/>
      <w:r>
        <w:rPr>
          <w:rFonts w:ascii="Arial" w:eastAsia="Arial" w:hAnsi="Arial" w:cs="Arial"/>
          <w:sz w:val="20"/>
          <w:szCs w:val="20"/>
        </w:rPr>
        <w:t xml:space="preserve">). </w:t>
      </w:r>
    </w:p>
    <w:p>
      <w:pPr>
        <w:spacing w:before="0" w:after="120" w:line="276" w:lineRule="auto"/>
        <w:ind w:left="1702"/>
        <w:jc w:val="both"/>
        <w:rPr>
          <w:sz w:val="20"/>
          <w:szCs w:val="20"/>
        </w:rPr>
      </w:pPr>
    </w:p>
    <w:p>
      <w:pPr>
        <w:spacing w:before="0" w:after="120" w:line="276" w:lineRule="auto"/>
        <w:ind w:left="502" w:hanging="360"/>
        <w:rPr>
          <w:sz w:val="20"/>
          <w:szCs w:val="20"/>
        </w:rPr>
      </w:pPr>
      <w:r>
        <w:rPr>
          <w:rFonts w:ascii="Arial" w:eastAsia="Arial" w:hAnsi="Arial" w:cs="Arial"/>
          <w:b/>
          <w:bCs/>
          <w:sz w:val="20"/>
          <w:szCs w:val="20"/>
        </w:rPr>
        <w:t>13.4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SCOPE OF WORK</w:t>
      </w:r>
    </w:p>
    <w:p>
      <w:pPr>
        <w:spacing w:before="0" w:after="0" w:line="360" w:lineRule="auto"/>
        <w:ind w:left="851"/>
        <w:jc w:val="both"/>
        <w:rPr>
          <w:sz w:val="20"/>
          <w:szCs w:val="20"/>
        </w:rPr>
      </w:pPr>
      <w:r>
        <w:rPr>
          <w:rFonts w:ascii="Arial" w:eastAsia="Arial" w:hAnsi="Arial" w:cs="Arial"/>
          <w:sz w:val="20"/>
          <w:szCs w:val="20"/>
        </w:rPr>
        <w:t>Through this bid to deliver the project as stated in the table below, INSETA will appoint training providers with valid accreditation from:</w:t>
      </w:r>
    </w:p>
    <w:p>
      <w:pPr>
        <w:numPr>
          <w:ilvl w:val="0"/>
          <w:numId w:val="24"/>
        </w:numPr>
        <w:pBdr>
          <w:left w:val="none" w:sz="0" w:space="8" w:color="auto"/>
        </w:pBdr>
        <w:spacing w:before="0" w:line="360" w:lineRule="auto"/>
        <w:ind w:left="1211" w:right="0" w:hanging="424"/>
        <w:jc w:val="both"/>
        <w:rPr>
          <w:rFonts w:ascii="Times New Roman" w:eastAsia="Times New Roman" w:hAnsi="Times New Roman" w:cs="Times New Roman"/>
          <w:sz w:val="20"/>
          <w:szCs w:val="20"/>
        </w:rPr>
      </w:pPr>
      <w:r>
        <w:rPr>
          <w:rFonts w:ascii="Arial" w:eastAsia="Arial" w:hAnsi="Arial" w:cs="Arial"/>
          <w:sz w:val="20"/>
          <w:szCs w:val="20"/>
        </w:rPr>
        <w:t>QCTO accreditation for any Occupational Qualification</w:t>
      </w:r>
    </w:p>
    <w:p>
      <w:pPr>
        <w:numPr>
          <w:ilvl w:val="0"/>
          <w:numId w:val="24"/>
        </w:numPr>
        <w:pBdr>
          <w:left w:val="none" w:sz="0" w:space="8" w:color="auto"/>
        </w:pBdr>
        <w:spacing w:after="0" w:line="360" w:lineRule="auto"/>
        <w:ind w:left="1211" w:right="0" w:hanging="424"/>
        <w:jc w:val="both"/>
        <w:rPr>
          <w:rFonts w:ascii="Times New Roman" w:eastAsia="Times New Roman" w:hAnsi="Times New Roman" w:cs="Times New Roman"/>
          <w:sz w:val="20"/>
          <w:szCs w:val="20"/>
        </w:rPr>
      </w:pPr>
      <w:r>
        <w:rPr>
          <w:rFonts w:ascii="Arial" w:eastAsia="Arial" w:hAnsi="Arial" w:cs="Arial"/>
          <w:sz w:val="20"/>
          <w:szCs w:val="20"/>
        </w:rPr>
        <w:t xml:space="preserve">INSETA for the </w:t>
      </w:r>
      <w:bookmarkStart w:id="4" w:name="_Hlk31197101"/>
      <w:r>
        <w:rPr>
          <w:rFonts w:ascii="Arial" w:eastAsia="Arial" w:hAnsi="Arial" w:cs="Arial"/>
          <w:sz w:val="20"/>
          <w:szCs w:val="20"/>
        </w:rPr>
        <w:t>Short</w:t>
      </w:r>
      <w:r>
        <w:rPr>
          <w:rFonts w:ascii="Arial" w:eastAsia="Arial" w:hAnsi="Arial" w:cs="Arial"/>
          <w:sz w:val="20"/>
          <w:szCs w:val="20"/>
        </w:rPr>
        <w:t>-</w:t>
      </w:r>
      <w:r>
        <w:rPr>
          <w:rFonts w:ascii="Arial" w:eastAsia="Arial" w:hAnsi="Arial" w:cs="Arial"/>
          <w:sz w:val="20"/>
          <w:szCs w:val="20"/>
        </w:rPr>
        <w:t>Term Insurance</w:t>
      </w:r>
      <w:r>
        <w:rPr>
          <w:rFonts w:ascii="Arial" w:eastAsia="Arial" w:hAnsi="Arial" w:cs="Arial"/>
          <w:sz w:val="20"/>
          <w:szCs w:val="20"/>
        </w:rPr>
        <w:t xml:space="preserve"> </w:t>
      </w:r>
      <w:r>
        <w:rPr>
          <w:rFonts w:ascii="Arial" w:eastAsia="Arial" w:hAnsi="Arial" w:cs="Arial"/>
          <w:sz w:val="20"/>
          <w:szCs w:val="20"/>
        </w:rPr>
        <w:t>NQF Level 4 (</w:t>
      </w:r>
      <w:r>
        <w:rPr>
          <w:rFonts w:ascii="Arial" w:eastAsia="Arial" w:hAnsi="Arial" w:cs="Arial"/>
          <w:sz w:val="20"/>
          <w:szCs w:val="20"/>
        </w:rPr>
        <w:t>49929</w:t>
      </w:r>
      <w:r>
        <w:rPr>
          <w:rFonts w:ascii="Arial" w:eastAsia="Arial" w:hAnsi="Arial" w:cs="Arial"/>
          <w:sz w:val="20"/>
          <w:szCs w:val="20"/>
        </w:rPr>
        <w:t>)</w:t>
      </w:r>
    </w:p>
    <w:p>
      <w:pPr>
        <w:spacing w:before="0" w:after="0" w:line="276" w:lineRule="auto"/>
        <w:ind w:left="1080"/>
        <w:jc w:val="both"/>
        <w:rPr>
          <w:sz w:val="20"/>
          <w:szCs w:val="20"/>
        </w:rPr>
      </w:pPr>
      <w:bookmarkEnd w:id="4"/>
      <w:r>
        <w:rPr>
          <w:rFonts w:ascii="Arial" w:eastAsia="Arial" w:hAnsi="Arial" w:cs="Arial"/>
          <w:sz w:val="20"/>
          <w:szCs w:val="20"/>
        </w:rPr>
        <w:t xml:space="preserve">  </w:t>
      </w:r>
    </w:p>
    <w:tbl>
      <w:tblPr>
        <w:tblW w:w="9072" w:type="dxa"/>
        <w:tblInd w:w="961"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5028"/>
        <w:gridCol w:w="824"/>
        <w:gridCol w:w="3190"/>
      </w:tblGrid>
      <w:tr>
        <w:tblPrEx>
          <w:tblW w:w="9072" w:type="dxa"/>
          <w:tblInd w:w="961"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4819" w:type="dxa"/>
            <w:tcBorders>
              <w:bottom w:val="single" w:sz="6" w:space="0" w:color="000000"/>
              <w:right w:val="single" w:sz="6" w:space="0" w:color="000000"/>
            </w:tcBorders>
            <w:shd w:val="clear" w:color="auto" w:fill="A6A6A6"/>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QUALIFICATION</w:t>
            </w:r>
          </w:p>
        </w:tc>
        <w:tc>
          <w:tcPr>
            <w:tcW w:w="1276" w:type="dxa"/>
            <w:tcBorders>
              <w:left w:val="single" w:sz="6" w:space="0" w:color="000000"/>
              <w:bottom w:val="single" w:sz="6" w:space="0" w:color="000000"/>
              <w:right w:val="single" w:sz="6" w:space="0" w:color="000000"/>
            </w:tcBorders>
            <w:shd w:val="clear" w:color="auto" w:fill="A6A6A6"/>
            <w:noWrap w:val="0"/>
            <w:tcMar>
              <w:top w:w="8" w:type="dxa"/>
              <w:left w:w="108" w:type="dxa"/>
              <w:bottom w:w="8" w:type="dxa"/>
              <w:right w:w="108" w:type="dxa"/>
            </w:tcMar>
            <w:vAlign w:val="top"/>
            <w:hideMark/>
          </w:tcPr>
          <w:p>
            <w:pPr>
              <w:spacing w:before="0" w:after="0" w:line="276"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SAQA ID</w:t>
            </w:r>
          </w:p>
        </w:tc>
        <w:tc>
          <w:tcPr>
            <w:tcW w:w="2977" w:type="dxa"/>
            <w:tcBorders>
              <w:left w:val="single" w:sz="6" w:space="0" w:color="000000"/>
              <w:bottom w:val="single" w:sz="6" w:space="0" w:color="000000"/>
            </w:tcBorders>
            <w:shd w:val="clear" w:color="auto" w:fill="A6A6A6"/>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BREAKDOWN</w:t>
            </w:r>
          </w:p>
        </w:tc>
      </w:tr>
      <w:tr>
        <w:tblPrEx>
          <w:tblW w:w="9072" w:type="dxa"/>
          <w:tblInd w:w="961" w:type="dxa"/>
          <w:tblCellMar>
            <w:top w:w="0" w:type="dxa"/>
            <w:left w:w="0" w:type="dxa"/>
            <w:bottom w:w="0" w:type="dxa"/>
            <w:right w:w="0" w:type="dxa"/>
          </w:tblCellMar>
        </w:tblPrEx>
        <w:tc>
          <w:tcPr>
            <w:tcW w:w="4819"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Short Term Insurance</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NQF L4</w:t>
            </w:r>
          </w:p>
        </w:tc>
        <w:tc>
          <w:tcPr>
            <w:tcW w:w="1276" w:type="dxa"/>
            <w:tcBorders>
              <w:top w:val="single" w:sz="6" w:space="0" w:color="808080"/>
              <w:left w:val="single" w:sz="6" w:space="0" w:color="000000"/>
              <w:bottom w:val="single" w:sz="6" w:space="0" w:color="808080"/>
              <w:right w:val="single" w:sz="6" w:space="0" w:color="000000"/>
            </w:tcBorders>
            <w:noWrap w:val="0"/>
            <w:tcMar>
              <w:top w:w="8" w:type="dxa"/>
              <w:left w:w="108" w:type="dxa"/>
              <w:bottom w:w="8" w:type="dxa"/>
              <w:right w:w="108" w:type="dxa"/>
            </w:tcMar>
            <w:vAlign w:val="center"/>
            <w:hideMark/>
          </w:tcPr>
          <w:p>
            <w:pPr>
              <w:spacing w:before="0" w:after="0" w:line="276" w:lineRule="auto"/>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49929</w:t>
            </w:r>
          </w:p>
        </w:tc>
        <w:tc>
          <w:tcPr>
            <w:tcW w:w="2977"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w:t>
            </w:r>
            <w:r>
              <w:rPr>
                <w:rFonts w:ascii="Arial" w:eastAsia="Arial" w:hAnsi="Arial" w:cs="Arial"/>
                <w:b w:val="0"/>
                <w:bCs w:val="0"/>
                <w:i w:val="0"/>
                <w:iCs w:val="0"/>
                <w:smallCaps w:val="0"/>
                <w:color w:val="000000"/>
                <w:sz w:val="20"/>
                <w:szCs w:val="20"/>
              </w:rPr>
              <w:t>00 x Registered Learners</w:t>
            </w:r>
          </w:p>
        </w:tc>
      </w:tr>
      <w:tr>
        <w:tblPrEx>
          <w:tblW w:w="9072" w:type="dxa"/>
          <w:tblInd w:w="961" w:type="dxa"/>
          <w:tblCellMar>
            <w:top w:w="0" w:type="dxa"/>
            <w:left w:w="0" w:type="dxa"/>
            <w:bottom w:w="0" w:type="dxa"/>
            <w:right w:w="0" w:type="dxa"/>
          </w:tblCellMar>
        </w:tblPrEx>
        <w:tc>
          <w:tcPr>
            <w:tcW w:w="4819" w:type="dxa"/>
            <w:tcBorders>
              <w:top w:val="single" w:sz="6" w:space="0" w:color="000000"/>
              <w:right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Overall Total</w:t>
            </w:r>
          </w:p>
        </w:tc>
        <w:tc>
          <w:tcPr>
            <w:tcW w:w="1276" w:type="dxa"/>
            <w:tcBorders>
              <w:top w:val="single" w:sz="6" w:space="0" w:color="808080"/>
              <w:left w:val="single" w:sz="6" w:space="0" w:color="000000"/>
              <w:right w:val="single" w:sz="6" w:space="0" w:color="000000"/>
            </w:tcBorders>
            <w:noWrap w:val="0"/>
            <w:tcMar>
              <w:top w:w="8" w:type="dxa"/>
              <w:left w:w="108" w:type="dxa"/>
              <w:bottom w:w="8" w:type="dxa"/>
              <w:right w:w="108" w:type="dxa"/>
            </w:tcMar>
            <w:vAlign w:val="center"/>
          </w:tcPr>
          <w:p>
            <w:pPr>
              <w:spacing w:before="0" w:after="0" w:line="276" w:lineRule="auto"/>
              <w:jc w:val="center"/>
              <w:rPr>
                <w:b w:val="0"/>
                <w:bCs w:val="0"/>
                <w:i w:val="0"/>
                <w:iCs w:val="0"/>
                <w:smallCaps w:val="0"/>
                <w:color w:val="000000"/>
                <w:sz w:val="20"/>
                <w:szCs w:val="20"/>
              </w:rPr>
            </w:pPr>
          </w:p>
        </w:tc>
        <w:tc>
          <w:tcPr>
            <w:tcW w:w="2977" w:type="dxa"/>
            <w:tcBorders>
              <w:top w:val="single" w:sz="6" w:space="0" w:color="000000"/>
              <w:left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8</w:t>
            </w:r>
            <w:r>
              <w:rPr>
                <w:rFonts w:ascii="Arial" w:eastAsia="Arial" w:hAnsi="Arial" w:cs="Arial"/>
                <w:b/>
                <w:bCs/>
                <w:i w:val="0"/>
                <w:iCs w:val="0"/>
                <w:smallCaps w:val="0"/>
                <w:color w:val="000000"/>
                <w:sz w:val="20"/>
                <w:szCs w:val="20"/>
              </w:rPr>
              <w:t xml:space="preserve">00 </w:t>
            </w:r>
            <w:r>
              <w:rPr>
                <w:rFonts w:ascii="Arial" w:eastAsia="Arial" w:hAnsi="Arial" w:cs="Arial"/>
                <w:b/>
                <w:bCs/>
                <w:i w:val="0"/>
                <w:iCs w:val="0"/>
                <w:smallCaps w:val="0"/>
                <w:color w:val="000000"/>
                <w:sz w:val="20"/>
                <w:szCs w:val="20"/>
              </w:rPr>
              <w:t>x Registered Learners</w:t>
            </w:r>
          </w:p>
        </w:tc>
      </w:tr>
    </w:tbl>
    <w:p>
      <w:pPr>
        <w:spacing w:before="0" w:after="0" w:line="276" w:lineRule="auto"/>
        <w:ind w:left="1080"/>
        <w:jc w:val="both"/>
        <w:rPr>
          <w:sz w:val="20"/>
          <w:szCs w:val="20"/>
        </w:rPr>
      </w:pPr>
    </w:p>
    <w:p>
      <w:pPr>
        <w:spacing w:before="280" w:after="280" w:line="276" w:lineRule="auto"/>
        <w:ind w:left="851"/>
        <w:jc w:val="both"/>
        <w:rPr>
          <w:sz w:val="20"/>
          <w:szCs w:val="20"/>
        </w:rPr>
      </w:pPr>
      <w:r>
        <w:rPr>
          <w:rFonts w:ascii="Arial" w:eastAsia="Arial" w:hAnsi="Arial" w:cs="Arial"/>
          <w:sz w:val="20"/>
          <w:szCs w:val="20"/>
        </w:rPr>
        <w:t>Training providers</w:t>
      </w:r>
      <w:r>
        <w:rPr>
          <w:rFonts w:ascii="Arial" w:eastAsia="Arial" w:hAnsi="Arial" w:cs="Arial"/>
          <w:strike/>
          <w:sz w:val="20"/>
          <w:szCs w:val="20"/>
        </w:rPr>
        <w:t xml:space="preserve"> </w:t>
      </w:r>
      <w:r>
        <w:rPr>
          <w:rFonts w:ascii="Arial" w:eastAsia="Arial" w:hAnsi="Arial" w:cs="Arial"/>
          <w:sz w:val="20"/>
          <w:szCs w:val="20"/>
        </w:rPr>
        <w:t>entrusted with this assignment will be required to outline the following in the delivery of this project:</w:t>
      </w:r>
    </w:p>
    <w:p>
      <w:pPr>
        <w:spacing w:before="280" w:after="0" w:line="360" w:lineRule="auto"/>
        <w:ind w:left="1265" w:hanging="360"/>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Express interest by indicating the number of </w:t>
      </w:r>
      <w:r>
        <w:rPr>
          <w:rFonts w:ascii="Arial" w:eastAsia="Arial" w:hAnsi="Arial" w:cs="Arial"/>
          <w:sz w:val="20"/>
          <w:szCs w:val="20"/>
        </w:rPr>
        <w:t xml:space="preserve">currently </w:t>
      </w:r>
      <w:r>
        <w:rPr>
          <w:rFonts w:ascii="Arial" w:eastAsia="Arial" w:hAnsi="Arial" w:cs="Arial"/>
          <w:sz w:val="20"/>
          <w:szCs w:val="20"/>
        </w:rPr>
        <w:t>registered learners they wish to enter into the FISA examination</w:t>
      </w:r>
      <w:r>
        <w:rPr>
          <w:rFonts w:ascii="Arial" w:eastAsia="Arial" w:hAnsi="Arial" w:cs="Arial"/>
          <w:sz w:val="20"/>
          <w:szCs w:val="20"/>
        </w:rPr>
        <w:t xml:space="preserve"> for the </w:t>
      </w:r>
      <w:r>
        <w:rPr>
          <w:rFonts w:ascii="Arial" w:eastAsia="Arial" w:hAnsi="Arial" w:cs="Arial"/>
          <w:sz w:val="20"/>
          <w:szCs w:val="20"/>
        </w:rPr>
        <w:t>Short</w:t>
      </w:r>
      <w:r>
        <w:rPr>
          <w:rFonts w:ascii="Arial" w:eastAsia="Arial" w:hAnsi="Arial" w:cs="Arial"/>
          <w:sz w:val="20"/>
          <w:szCs w:val="20"/>
        </w:rPr>
        <w:t>-</w:t>
      </w:r>
      <w:r>
        <w:rPr>
          <w:rFonts w:ascii="Arial" w:eastAsia="Arial" w:hAnsi="Arial" w:cs="Arial"/>
          <w:sz w:val="20"/>
          <w:szCs w:val="20"/>
        </w:rPr>
        <w:t>Term Insurance</w:t>
      </w:r>
      <w:r>
        <w:rPr>
          <w:rFonts w:ascii="Arial" w:eastAsia="Arial" w:hAnsi="Arial" w:cs="Arial"/>
          <w:sz w:val="20"/>
          <w:szCs w:val="20"/>
        </w:rPr>
        <w:t xml:space="preserve"> </w:t>
      </w:r>
      <w:r>
        <w:rPr>
          <w:rFonts w:ascii="Arial" w:eastAsia="Arial" w:hAnsi="Arial" w:cs="Arial"/>
          <w:sz w:val="20"/>
          <w:szCs w:val="20"/>
        </w:rPr>
        <w:t>NQF Level 4 qualification</w:t>
      </w:r>
      <w:r>
        <w:rPr>
          <w:rFonts w:ascii="Arial" w:eastAsia="Arial" w:hAnsi="Arial" w:cs="Arial"/>
          <w:sz w:val="20"/>
          <w:szCs w:val="20"/>
        </w:rPr>
        <w:t>.</w:t>
      </w:r>
    </w:p>
    <w:p>
      <w:pPr>
        <w:spacing w:before="0" w:after="0" w:line="360" w:lineRule="auto"/>
        <w:ind w:left="1265" w:hanging="36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Prepare learners for readiness to write the FISA examinations for the </w:t>
      </w:r>
      <w:r>
        <w:rPr>
          <w:rFonts w:ascii="Arial" w:eastAsia="Arial" w:hAnsi="Arial" w:cs="Arial"/>
          <w:sz w:val="20"/>
          <w:szCs w:val="20"/>
        </w:rPr>
        <w:t>Short</w:t>
      </w:r>
      <w:r>
        <w:rPr>
          <w:rFonts w:ascii="Arial" w:eastAsia="Arial" w:hAnsi="Arial" w:cs="Arial"/>
          <w:sz w:val="20"/>
          <w:szCs w:val="20"/>
        </w:rPr>
        <w:t>-</w:t>
      </w:r>
      <w:r>
        <w:rPr>
          <w:rFonts w:ascii="Arial" w:eastAsia="Arial" w:hAnsi="Arial" w:cs="Arial"/>
          <w:sz w:val="20"/>
          <w:szCs w:val="20"/>
        </w:rPr>
        <w:t>Term Insurance</w:t>
      </w:r>
      <w:r>
        <w:rPr>
          <w:rFonts w:ascii="Arial" w:eastAsia="Arial" w:hAnsi="Arial" w:cs="Arial"/>
          <w:sz w:val="20"/>
          <w:szCs w:val="20"/>
        </w:rPr>
        <w:t xml:space="preserve"> </w:t>
      </w:r>
      <w:r>
        <w:rPr>
          <w:rFonts w:ascii="Arial" w:eastAsia="Arial" w:hAnsi="Arial" w:cs="Arial"/>
          <w:sz w:val="20"/>
          <w:szCs w:val="20"/>
        </w:rPr>
        <w:t>NQF Level 4 qualification. FISA preparation can include i.e. revision sessions by Training Provider,</w:t>
      </w:r>
      <w:r>
        <w:rPr>
          <w:rFonts w:ascii="Arial" w:eastAsia="Arial" w:hAnsi="Arial" w:cs="Arial"/>
          <w:sz w:val="20"/>
          <w:szCs w:val="20"/>
        </w:rPr>
        <w:t xml:space="preserve"> mock examination,</w:t>
      </w:r>
      <w:r>
        <w:rPr>
          <w:rFonts w:ascii="Arial" w:eastAsia="Arial" w:hAnsi="Arial" w:cs="Arial"/>
          <w:sz w:val="20"/>
          <w:szCs w:val="20"/>
        </w:rPr>
        <w:t xml:space="preserve"> FISA examination packs </w:t>
      </w:r>
      <w:r>
        <w:rPr>
          <w:rFonts w:ascii="Arial" w:eastAsia="Arial" w:hAnsi="Arial" w:cs="Arial"/>
          <w:b/>
          <w:bCs/>
          <w:i/>
          <w:iCs/>
          <w:sz w:val="18"/>
          <w:szCs w:val="18"/>
        </w:rPr>
        <w:t>(copy of learner ID, FISA readiness letter, learner SoR, proof of learner registration with INSETA)</w:t>
      </w:r>
    </w:p>
    <w:p>
      <w:pPr>
        <w:spacing w:before="0" w:after="0" w:line="360" w:lineRule="auto"/>
        <w:ind w:left="1265" w:hanging="360"/>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Provision of a venue to host FISA examination in line with the number of learners allocated to the Training Provider. The venue must meet specific </w:t>
      </w:r>
      <w:r>
        <w:rPr>
          <w:rFonts w:ascii="Arial" w:eastAsia="Arial" w:hAnsi="Arial" w:cs="Arial"/>
          <w:sz w:val="20"/>
          <w:szCs w:val="20"/>
        </w:rPr>
        <w:t>exit examination requirements</w:t>
      </w:r>
      <w:r>
        <w:rPr>
          <w:rFonts w:ascii="Arial" w:eastAsia="Arial" w:hAnsi="Arial" w:cs="Arial"/>
          <w:sz w:val="20"/>
          <w:szCs w:val="20"/>
        </w:rPr>
        <w:t xml:space="preserve"> </w:t>
      </w:r>
      <w:r>
        <w:rPr>
          <w:rFonts w:ascii="Arial" w:eastAsia="Arial" w:hAnsi="Arial" w:cs="Arial"/>
          <w:sz w:val="20"/>
          <w:szCs w:val="20"/>
        </w:rPr>
        <w:t>such as security, access control, proper lighting, ventilation etc.</w:t>
      </w:r>
    </w:p>
    <w:p>
      <w:pPr>
        <w:spacing w:before="0" w:after="0" w:line="360" w:lineRule="auto"/>
        <w:ind w:left="1265" w:hanging="360"/>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Training Provider must appoint trained exit examination Invigilators to supervise the FISA examination. INSETA can provide a standard invigilator training manual – the Training Provider can produce attendance register as proof of Invigilator training.</w:t>
      </w:r>
    </w:p>
    <w:p>
      <w:pPr>
        <w:spacing w:before="0" w:after="0" w:line="360" w:lineRule="auto"/>
        <w:ind w:left="1265" w:hanging="360"/>
        <w:jc w:val="both"/>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Training Provider must manage the FISA instruments pre-examination and distribute (courier/hand deliver) to INSETA post the examination.</w:t>
      </w:r>
    </w:p>
    <w:p>
      <w:pPr>
        <w:spacing w:before="0" w:after="0" w:line="360" w:lineRule="auto"/>
        <w:ind w:left="1265" w:hanging="360"/>
        <w:jc w:val="both"/>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Training Provider must distribute certificates to </w:t>
      </w:r>
      <w:r>
        <w:rPr>
          <w:rFonts w:ascii="Arial" w:eastAsia="Arial" w:hAnsi="Arial" w:cs="Arial"/>
          <w:sz w:val="20"/>
          <w:szCs w:val="20"/>
        </w:rPr>
        <w:t>learner’s</w:t>
      </w:r>
      <w:r>
        <w:rPr>
          <w:rFonts w:ascii="Arial" w:eastAsia="Arial" w:hAnsi="Arial" w:cs="Arial"/>
          <w:sz w:val="20"/>
          <w:szCs w:val="20"/>
        </w:rPr>
        <w:t xml:space="preserve"> postscript marking and certification by INSETA.</w:t>
      </w:r>
      <w:r>
        <w:rPr>
          <w:rFonts w:ascii="Arial" w:eastAsia="Arial" w:hAnsi="Arial" w:cs="Arial"/>
          <w:sz w:val="20"/>
          <w:szCs w:val="20"/>
        </w:rPr>
        <w:t xml:space="preserve"> </w:t>
      </w:r>
    </w:p>
    <w:p>
      <w:pPr>
        <w:spacing w:before="0" w:after="120" w:line="276" w:lineRule="auto"/>
        <w:ind w:left="502" w:hanging="360"/>
        <w:rPr>
          <w:sz w:val="20"/>
          <w:szCs w:val="20"/>
        </w:rPr>
      </w:pPr>
      <w:r>
        <w:rPr>
          <w:rFonts w:ascii="Arial" w:eastAsia="Arial" w:hAnsi="Arial" w:cs="Arial"/>
          <w:b/>
          <w:bCs/>
          <w:sz w:val="20"/>
          <w:szCs w:val="20"/>
        </w:rPr>
        <w:t>13.5</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caps/>
          <w:sz w:val="20"/>
          <w:szCs w:val="20"/>
        </w:rPr>
        <w:t xml:space="preserve">Deliverables </w:t>
      </w:r>
    </w:p>
    <w:p>
      <w:pPr>
        <w:spacing w:before="0" w:after="0" w:line="276" w:lineRule="auto"/>
        <w:ind w:left="1636" w:hanging="360"/>
        <w:rPr>
          <w:sz w:val="20"/>
          <w:szCs w:val="20"/>
        </w:rPr>
      </w:pPr>
      <w:r>
        <w:rPr>
          <w:rFonts w:ascii="Arial" w:eastAsia="Arial" w:hAnsi="Arial" w:cs="Arial"/>
          <w:b/>
          <w:bCs/>
          <w:sz w:val="20"/>
          <w:szCs w:val="20"/>
        </w:rPr>
        <w:t>a)</w:t>
      </w:r>
      <w:r>
        <w:rPr>
          <w:rFonts w:ascii="Times New Roman" w:eastAsia="Times New Roman" w:hAnsi="Times New Roman" w:cs="Times New Roman"/>
          <w:b w:val="0"/>
          <w:bCs w:val="0"/>
          <w:i w:val="0"/>
          <w:iCs w:val="0"/>
          <w:smallCaps w:val="0"/>
          <w:sz w:val="14"/>
          <w:szCs w:val="14"/>
        </w:rPr>
        <w:t xml:space="preserve">      </w:t>
      </w:r>
      <w:bookmarkStart w:id="5" w:name="_Hlk32317509"/>
      <w:r>
        <w:rPr>
          <w:rFonts w:ascii="Arial" w:eastAsia="Arial" w:hAnsi="Arial" w:cs="Arial"/>
          <w:b/>
          <w:bCs/>
          <w:sz w:val="20"/>
          <w:szCs w:val="20"/>
        </w:rPr>
        <w:t xml:space="preserve">Conduct </w:t>
      </w:r>
      <w:r>
        <w:rPr>
          <w:rFonts w:ascii="Arial" w:eastAsia="Arial" w:hAnsi="Arial" w:cs="Arial"/>
          <w:b/>
          <w:bCs/>
          <w:sz w:val="20"/>
          <w:szCs w:val="20"/>
        </w:rPr>
        <w:t xml:space="preserve">Administration &amp; </w:t>
      </w:r>
      <w:r>
        <w:rPr>
          <w:rFonts w:ascii="Arial" w:eastAsia="Arial" w:hAnsi="Arial" w:cs="Arial"/>
          <w:b/>
          <w:bCs/>
          <w:sz w:val="20"/>
          <w:szCs w:val="20"/>
        </w:rPr>
        <w:t xml:space="preserve">Provide </w:t>
      </w:r>
      <w:r>
        <w:rPr>
          <w:rFonts w:ascii="Arial" w:eastAsia="Arial" w:hAnsi="Arial" w:cs="Arial"/>
          <w:b/>
          <w:bCs/>
          <w:sz w:val="20"/>
          <w:szCs w:val="20"/>
        </w:rPr>
        <w:t>Security of FISA instruments</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bookmarkEnd w:id="5"/>
      <w:r>
        <w:rPr>
          <w:rFonts w:ascii="Arial" w:eastAsia="Arial" w:hAnsi="Arial" w:cs="Arial"/>
          <w:sz w:val="20"/>
          <w:szCs w:val="20"/>
        </w:rPr>
        <w:t>Identifying learners interested to write FISA examination</w:t>
      </w:r>
      <w:r>
        <w:rPr>
          <w:rFonts w:ascii="Arial" w:eastAsia="Arial" w:hAnsi="Arial" w:cs="Arial"/>
          <w:sz w:val="20"/>
          <w:szCs w:val="20"/>
        </w:rPr>
        <w:t>s</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Safe storage of FISA instruments pre-examination</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Distribution of scripts to INSETA post FISA examination</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Recruitment, appointment and training of Invigilators</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Distribution of certificates post FISA script marking</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Distribution of learner permits accepted to write FISA examination</w:t>
      </w:r>
    </w:p>
    <w:p>
      <w:pPr>
        <w:spacing w:before="0" w:after="0" w:line="360" w:lineRule="auto"/>
        <w:ind w:left="1440"/>
        <w:jc w:val="both"/>
        <w:rPr>
          <w:sz w:val="20"/>
          <w:szCs w:val="20"/>
        </w:rPr>
      </w:pPr>
    </w:p>
    <w:p>
      <w:pPr>
        <w:spacing w:before="0" w:after="0" w:line="360" w:lineRule="auto"/>
        <w:ind w:left="1636" w:hanging="360"/>
        <w:rPr>
          <w:sz w:val="20"/>
          <w:szCs w:val="20"/>
        </w:rPr>
      </w:pPr>
      <w:r>
        <w:rPr>
          <w:rFonts w:ascii="Arial" w:eastAsia="Arial" w:hAnsi="Arial" w:cs="Arial"/>
          <w:b/>
          <w:bCs/>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Hosting of FISA examination</w:t>
      </w:r>
      <w:r>
        <w:rPr>
          <w:rFonts w:ascii="Arial" w:eastAsia="Arial" w:hAnsi="Arial" w:cs="Arial"/>
          <w:b/>
          <w:bCs/>
          <w:sz w:val="20"/>
          <w:szCs w:val="20"/>
        </w:rPr>
        <w:t xml:space="preserve"> </w:t>
      </w:r>
    </w:p>
    <w:p>
      <w:pPr>
        <w:spacing w:before="0" w:after="0" w:line="360" w:lineRule="auto"/>
        <w:ind w:left="2127" w:hanging="426"/>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Identifying a suitable (convenient, accessible, secure) venue to host exam.</w:t>
      </w:r>
    </w:p>
    <w:p>
      <w:pPr>
        <w:spacing w:before="0" w:after="0" w:line="360" w:lineRule="auto"/>
        <w:ind w:left="2127" w:hanging="426"/>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Invigilate the FISA examination (ratio 1/15 learners + a Chief Invigilator)</w:t>
      </w:r>
    </w:p>
    <w:p>
      <w:pPr>
        <w:spacing w:before="0" w:after="0" w:line="360" w:lineRule="auto"/>
        <w:ind w:left="2127" w:hanging="426"/>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Maintain a FISA examination invigilation file (</w:t>
      </w:r>
      <w:r>
        <w:rPr>
          <w:rFonts w:ascii="Arial" w:eastAsia="Arial" w:hAnsi="Arial" w:cs="Arial"/>
          <w:b/>
          <w:bCs/>
          <w:i/>
          <w:iCs/>
          <w:sz w:val="20"/>
          <w:szCs w:val="20"/>
        </w:rPr>
        <w:t>attendance register, sitting plan, invigilation report and irregularity report</w:t>
      </w:r>
      <w:r>
        <w:rPr>
          <w:rFonts w:ascii="Arial" w:eastAsia="Arial" w:hAnsi="Arial" w:cs="Arial"/>
          <w:sz w:val="20"/>
          <w:szCs w:val="20"/>
        </w:rPr>
        <w:t>)</w:t>
      </w:r>
    </w:p>
    <w:p>
      <w:pPr>
        <w:spacing w:before="0" w:after="0" w:line="276" w:lineRule="auto"/>
        <w:ind w:left="1985"/>
        <w:rPr>
          <w:sz w:val="20"/>
          <w:szCs w:val="20"/>
        </w:rPr>
      </w:pPr>
    </w:p>
    <w:p>
      <w:pPr>
        <w:widowControl w:val="0"/>
        <w:spacing w:before="0" w:after="0" w:line="360" w:lineRule="auto"/>
        <w:ind w:left="720" w:hanging="720"/>
        <w:jc w:val="both"/>
        <w:rPr>
          <w:sz w:val="20"/>
          <w:szCs w:val="20"/>
        </w:rPr>
      </w:pPr>
      <w:r>
        <w:rPr>
          <w:rFonts w:ascii="Arial" w:eastAsia="Arial" w:hAnsi="Arial" w:cs="Arial"/>
          <w:sz w:val="20"/>
          <w:szCs w:val="20"/>
        </w:rPr>
        <w:t>13.6.</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bid will be evaluated and adjudicated on </w:t>
      </w:r>
      <w:r>
        <w:rPr>
          <w:rFonts w:ascii="Arial" w:eastAsia="Arial" w:hAnsi="Arial" w:cs="Arial"/>
          <w:sz w:val="20"/>
          <w:szCs w:val="20"/>
        </w:rPr>
        <w:t>three</w:t>
      </w:r>
      <w:r>
        <w:rPr>
          <w:rFonts w:ascii="Arial" w:eastAsia="Arial" w:hAnsi="Arial" w:cs="Arial"/>
          <w:sz w:val="20"/>
          <w:szCs w:val="20"/>
        </w:rPr>
        <w:t xml:space="preserve"> (</w:t>
      </w:r>
      <w:r>
        <w:rPr>
          <w:rFonts w:ascii="Arial" w:eastAsia="Arial" w:hAnsi="Arial" w:cs="Arial"/>
          <w:sz w:val="20"/>
          <w:szCs w:val="20"/>
        </w:rPr>
        <w:t>3</w:t>
      </w:r>
      <w:r>
        <w:rPr>
          <w:rFonts w:ascii="Arial" w:eastAsia="Arial" w:hAnsi="Arial" w:cs="Arial"/>
          <w:sz w:val="20"/>
          <w:szCs w:val="20"/>
        </w:rPr>
        <w:t>) different levels</w:t>
      </w:r>
      <w:r>
        <w:rPr>
          <w:rFonts w:ascii="Arial" w:eastAsia="Arial" w:hAnsi="Arial" w:cs="Arial"/>
          <w:sz w:val="20"/>
          <w:szCs w:val="20"/>
        </w:rPr>
        <w:t xml:space="preserve"> plus one (1) optional level </w:t>
      </w:r>
      <w:r>
        <w:rPr>
          <w:rFonts w:ascii="Arial" w:eastAsia="Arial" w:hAnsi="Arial" w:cs="Arial"/>
          <w:sz w:val="20"/>
          <w:szCs w:val="20"/>
        </w:rPr>
        <w:t>(</w:t>
      </w:r>
      <w:r>
        <w:rPr>
          <w:rFonts w:ascii="Arial" w:eastAsia="Arial" w:hAnsi="Arial" w:cs="Arial"/>
          <w:sz w:val="20"/>
          <w:szCs w:val="20"/>
        </w:rPr>
        <w:t>Objective Criteria)</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these are:</w:t>
      </w:r>
    </w:p>
    <w:p>
      <w:pPr>
        <w:widowControl w:val="0"/>
        <w:spacing w:before="0" w:after="0" w:line="360" w:lineRule="auto"/>
        <w:ind w:left="1571" w:hanging="720"/>
        <w:jc w:val="both"/>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Compliance to bid requirements</w:t>
      </w:r>
      <w:r>
        <w:rPr>
          <w:rFonts w:ascii="Arial" w:eastAsia="Arial" w:hAnsi="Arial" w:cs="Arial"/>
          <w:sz w:val="20"/>
          <w:szCs w:val="20"/>
        </w:rPr>
        <w:t xml:space="preserve">: </w:t>
      </w:r>
      <w:r>
        <w:rPr>
          <w:rFonts w:ascii="Arial" w:eastAsia="Arial" w:hAnsi="Arial" w:cs="Arial"/>
          <w:sz w:val="20"/>
          <w:szCs w:val="20"/>
        </w:rPr>
        <w:t>proposals were verified against all administrative requirements of the bid which included the completeness of the Standard Bidding Documents.</w:t>
      </w:r>
    </w:p>
    <w:p>
      <w:pPr>
        <w:widowControl w:val="0"/>
        <w:spacing w:before="0" w:after="0" w:line="360" w:lineRule="auto"/>
        <w:ind w:left="1571"/>
        <w:jc w:val="both"/>
        <w:rPr>
          <w:sz w:val="20"/>
          <w:szCs w:val="20"/>
        </w:rPr>
      </w:pPr>
    </w:p>
    <w:p>
      <w:pPr>
        <w:widowControl w:val="0"/>
        <w:spacing w:before="0" w:after="0" w:line="360" w:lineRule="auto"/>
        <w:ind w:left="1571" w:hanging="720"/>
        <w:jc w:val="both"/>
        <w:rPr>
          <w:sz w:val="20"/>
          <w:szCs w:val="20"/>
        </w:rPr>
      </w:pPr>
      <w:r>
        <w:rPr>
          <w:rFonts w:ascii="Arial" w:eastAsia="Arial" w:hAnsi="Arial" w:cs="Arial"/>
          <w:b/>
          <w:bCs/>
          <w:sz w:val="20"/>
          <w:szCs w:val="20"/>
        </w:rPr>
        <w:t>(ii)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Compulsory </w:t>
      </w:r>
      <w:r>
        <w:rPr>
          <w:rFonts w:ascii="Arial" w:eastAsia="Arial" w:hAnsi="Arial" w:cs="Arial"/>
          <w:b/>
          <w:bCs/>
          <w:sz w:val="20"/>
          <w:szCs w:val="20"/>
        </w:rPr>
        <w:t>Requirement</w:t>
      </w:r>
      <w:r>
        <w:rPr>
          <w:rFonts w:ascii="Arial" w:eastAsia="Arial" w:hAnsi="Arial" w:cs="Arial"/>
          <w:b/>
          <w:bCs/>
          <w:sz w:val="20"/>
          <w:szCs w:val="20"/>
        </w:rPr>
        <w:t xml:space="preserve">: </w:t>
      </w:r>
      <w:r>
        <w:rPr>
          <w:rFonts w:ascii="Arial" w:eastAsia="Arial" w:hAnsi="Arial" w:cs="Arial"/>
          <w:sz w:val="20"/>
          <w:szCs w:val="20"/>
        </w:rPr>
        <w:t xml:space="preserve">Bidders must meet compulsory requirements </w:t>
      </w:r>
      <w:r>
        <w:rPr>
          <w:rFonts w:ascii="Arial" w:eastAsia="Arial" w:hAnsi="Arial" w:cs="Arial"/>
          <w:sz w:val="20"/>
          <w:szCs w:val="20"/>
        </w:rPr>
        <w:t>to</w:t>
      </w:r>
      <w:r>
        <w:rPr>
          <w:rFonts w:ascii="Arial" w:eastAsia="Arial" w:hAnsi="Arial" w:cs="Arial"/>
          <w:sz w:val="20"/>
          <w:szCs w:val="20"/>
        </w:rPr>
        <w:t xml:space="preserve"> be evaluated further on price and BBBEE.</w:t>
      </w:r>
    </w:p>
    <w:p>
      <w:pPr>
        <w:widowControl w:val="0"/>
        <w:spacing w:before="0" w:after="0" w:line="360" w:lineRule="auto"/>
        <w:jc w:val="both"/>
        <w:rPr>
          <w:sz w:val="20"/>
          <w:szCs w:val="20"/>
        </w:rPr>
      </w:pPr>
    </w:p>
    <w:p>
      <w:pPr>
        <w:widowControl w:val="0"/>
        <w:spacing w:before="0" w:after="0" w:line="360" w:lineRule="auto"/>
        <w:ind w:left="1571" w:hanging="720"/>
        <w:jc w:val="both"/>
        <w:rPr>
          <w:sz w:val="20"/>
          <w:szCs w:val="20"/>
        </w:rPr>
      </w:pPr>
      <w:r>
        <w:rPr>
          <w:rFonts w:ascii="Arial" w:eastAsia="Arial" w:hAnsi="Arial" w:cs="Arial"/>
          <w:sz w:val="20"/>
          <w:szCs w:val="20"/>
        </w:rPr>
        <w:t>(iii)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Price &amp; B-BBEE Evaluation</w:t>
      </w:r>
      <w:r>
        <w:rPr>
          <w:rFonts w:ascii="Arial" w:eastAsia="Arial" w:hAnsi="Arial" w:cs="Arial"/>
          <w:sz w:val="20"/>
          <w:szCs w:val="20"/>
        </w:rPr>
        <w:t xml:space="preserve">: Evaluation based on price and BBBEE in line with the provisions of the Preferential Procurement Policy Framework Act of 2017. </w:t>
      </w:r>
    </w:p>
    <w:p>
      <w:pPr>
        <w:spacing w:before="0" w:after="0"/>
        <w:rPr>
          <w:sz w:val="20"/>
          <w:szCs w:val="20"/>
        </w:rPr>
      </w:pPr>
    </w:p>
    <w:p>
      <w:pPr>
        <w:widowControl w:val="0"/>
        <w:spacing w:before="0" w:after="0" w:line="360" w:lineRule="auto"/>
        <w:ind w:left="1571" w:hanging="720"/>
        <w:jc w:val="both"/>
        <w:rPr>
          <w:sz w:val="20"/>
          <w:szCs w:val="20"/>
        </w:rPr>
      </w:pPr>
      <w:r>
        <w:rPr>
          <w:rFonts w:ascii="Arial" w:eastAsia="Arial" w:hAnsi="Arial" w:cs="Arial"/>
          <w:sz w:val="20"/>
          <w:szCs w:val="20"/>
        </w:rPr>
        <w:t>(iv)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Objective Criteria</w:t>
      </w: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120" w:line="276" w:lineRule="auto"/>
        <w:ind w:left="993" w:hanging="720"/>
        <w:rPr>
          <w:sz w:val="20"/>
          <w:szCs w:val="20"/>
        </w:rPr>
      </w:pPr>
      <w:r>
        <w:rPr>
          <w:rFonts w:ascii="Arial" w:eastAsia="Arial" w:hAnsi="Arial" w:cs="Arial"/>
          <w:b/>
          <w:bCs/>
          <w:caps/>
          <w:sz w:val="20"/>
          <w:szCs w:val="20"/>
        </w:rPr>
        <w:t>13.7.</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caps/>
          <w:sz w:val="20"/>
          <w:szCs w:val="20"/>
        </w:rPr>
        <w:t>COMPLIANCE WITH MINIMUM REQUIREMENTS</w:t>
      </w:r>
    </w:p>
    <w:p>
      <w:pPr>
        <w:spacing w:before="0" w:after="120" w:line="360" w:lineRule="auto"/>
        <w:ind w:left="993"/>
        <w:rPr>
          <w:sz w:val="20"/>
          <w:szCs w:val="20"/>
        </w:rPr>
      </w:pPr>
      <w:r>
        <w:rPr>
          <w:rFonts w:ascii="Arial" w:eastAsia="Arial" w:hAnsi="Arial" w:cs="Arial"/>
          <w:sz w:val="20"/>
          <w:szCs w:val="20"/>
        </w:rPr>
        <w:t>All bids duly lodged will be examined to determine compliance with bidding requirements and conditions.</w:t>
      </w:r>
      <w:r>
        <w:rPr>
          <w:rFonts w:ascii="Arial" w:eastAsia="Arial" w:hAnsi="Arial" w:cs="Arial"/>
          <w:sz w:val="20"/>
          <w:szCs w:val="20"/>
        </w:rPr>
        <w:t xml:space="preserve">  </w:t>
      </w:r>
      <w:r>
        <w:rPr>
          <w:rFonts w:ascii="Arial" w:eastAsia="Arial" w:hAnsi="Arial" w:cs="Arial"/>
          <w:sz w:val="20"/>
          <w:szCs w:val="20"/>
        </w:rPr>
        <w:t>Bids with obvious deviations from the requirements/conditions, will be eliminated from further adjudication.</w:t>
      </w:r>
    </w:p>
    <w:p>
      <w:pPr>
        <w:spacing w:before="0" w:after="0" w:line="276" w:lineRule="auto"/>
        <w:ind w:left="1080"/>
        <w:rPr>
          <w:sz w:val="20"/>
          <w:szCs w:val="20"/>
        </w:rPr>
      </w:pPr>
    </w:p>
    <w:p>
      <w:pPr>
        <w:spacing w:before="0" w:after="200" w:line="276" w:lineRule="auto"/>
        <w:ind w:left="993" w:hanging="720"/>
        <w:rPr>
          <w:sz w:val="20"/>
          <w:szCs w:val="20"/>
        </w:rPr>
      </w:pPr>
      <w:r>
        <w:rPr>
          <w:rFonts w:ascii="Arial" w:eastAsia="Arial" w:hAnsi="Arial" w:cs="Arial"/>
          <w:b/>
          <w:bCs/>
          <w:sz w:val="20"/>
          <w:szCs w:val="20"/>
        </w:rPr>
        <w:t>13.8.</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COMPULSORY REQUIREMENTS</w:t>
      </w:r>
    </w:p>
    <w:p>
      <w:pPr>
        <w:spacing w:before="0" w:after="0" w:line="480" w:lineRule="auto"/>
        <w:ind w:left="142" w:firstLine="851"/>
        <w:jc w:val="both"/>
        <w:rPr>
          <w:sz w:val="20"/>
          <w:szCs w:val="20"/>
        </w:rPr>
      </w:pPr>
      <w:r>
        <w:rPr>
          <w:rFonts w:ascii="Arial" w:eastAsia="Arial" w:hAnsi="Arial" w:cs="Arial"/>
          <w:sz w:val="20"/>
          <w:szCs w:val="20"/>
        </w:rPr>
        <w:t>Bidders must submit the following:</w:t>
      </w:r>
    </w:p>
    <w:p>
      <w:pPr>
        <w:numPr>
          <w:ilvl w:val="0"/>
          <w:numId w:val="25"/>
        </w:numPr>
        <w:pBdr>
          <w:left w:val="none" w:sz="0" w:space="8" w:color="auto"/>
        </w:pBdr>
        <w:spacing w:before="0" w:after="0" w:line="480" w:lineRule="auto"/>
        <w:ind w:left="1418" w:right="0" w:hanging="424"/>
        <w:jc w:val="left"/>
        <w:rPr>
          <w:rFonts w:ascii="Times New Roman" w:eastAsia="Times New Roman" w:hAnsi="Times New Roman" w:cs="Times New Roman"/>
          <w:sz w:val="20"/>
          <w:szCs w:val="20"/>
        </w:rPr>
      </w:pPr>
      <w:r>
        <w:rPr>
          <w:rFonts w:ascii="Arial" w:eastAsia="Arial" w:hAnsi="Arial" w:cs="Arial"/>
          <w:sz w:val="20"/>
          <w:szCs w:val="20"/>
        </w:rPr>
        <w:t xml:space="preserve">Proof of valid, current and relevant accreditation with INSETA for </w:t>
      </w:r>
      <w:r>
        <w:rPr>
          <w:rFonts w:ascii="Arial" w:eastAsia="Arial" w:hAnsi="Arial" w:cs="Arial"/>
          <w:sz w:val="20"/>
          <w:szCs w:val="20"/>
        </w:rPr>
        <w:t>Retail Insurance NQF Level 4</w:t>
      </w:r>
      <w:r>
        <w:rPr>
          <w:rFonts w:ascii="Arial" w:eastAsia="Arial" w:hAnsi="Arial" w:cs="Arial"/>
          <w:sz w:val="20"/>
          <w:szCs w:val="20"/>
        </w:rPr>
        <w:t xml:space="preserve"> (</w:t>
      </w:r>
      <w:r>
        <w:rPr>
          <w:rFonts w:ascii="Arial" w:eastAsia="Arial" w:hAnsi="Arial" w:cs="Arial"/>
          <w:sz w:val="20"/>
          <w:szCs w:val="20"/>
        </w:rPr>
        <w:t>49835</w:t>
      </w:r>
      <w:r>
        <w:rPr>
          <w:rFonts w:ascii="Arial" w:eastAsia="Arial" w:hAnsi="Arial" w:cs="Arial"/>
          <w:sz w:val="20"/>
          <w:szCs w:val="20"/>
        </w:rPr>
        <w:t>). It must be valid at the closing date of the tender.</w:t>
      </w:r>
    </w:p>
    <w:p>
      <w:pPr>
        <w:numPr>
          <w:ilvl w:val="0"/>
          <w:numId w:val="26"/>
        </w:numPr>
        <w:pBdr>
          <w:left w:val="none" w:sz="0" w:space="8" w:color="auto"/>
        </w:pBdr>
        <w:spacing w:before="0" w:after="0" w:line="480" w:lineRule="auto"/>
        <w:ind w:left="1418" w:right="0" w:hanging="424"/>
        <w:jc w:val="left"/>
        <w:rPr>
          <w:rFonts w:ascii="Times New Roman" w:eastAsia="Times New Roman" w:hAnsi="Times New Roman" w:cs="Times New Roman"/>
          <w:sz w:val="20"/>
          <w:szCs w:val="20"/>
        </w:rPr>
      </w:pPr>
      <w:r>
        <w:rPr>
          <w:rFonts w:ascii="Arial" w:eastAsia="Arial" w:hAnsi="Arial" w:cs="Arial"/>
          <w:sz w:val="20"/>
          <w:szCs w:val="20"/>
        </w:rPr>
        <w:t>Proof of valid, current and relevant accreditation with QCTO for any Occupational Qualification. It must be valid at the closing date of the tender.</w:t>
      </w:r>
    </w:p>
    <w:p>
      <w:pPr>
        <w:numPr>
          <w:ilvl w:val="0"/>
          <w:numId w:val="27"/>
        </w:numPr>
        <w:pBdr>
          <w:left w:val="none" w:sz="0" w:space="8" w:color="auto"/>
        </w:pBdr>
        <w:spacing w:before="0" w:after="0" w:line="480" w:lineRule="auto"/>
        <w:ind w:left="1418" w:right="0" w:hanging="424"/>
        <w:jc w:val="left"/>
        <w:rPr>
          <w:rFonts w:ascii="Times New Roman" w:eastAsia="Times New Roman" w:hAnsi="Times New Roman" w:cs="Times New Roman"/>
          <w:sz w:val="20"/>
          <w:szCs w:val="20"/>
        </w:rPr>
      </w:pPr>
      <w:r>
        <w:rPr>
          <w:rFonts w:ascii="Arial" w:eastAsia="Arial" w:hAnsi="Arial" w:cs="Arial"/>
          <w:sz w:val="20"/>
          <w:szCs w:val="20"/>
        </w:rPr>
        <w:t>Project Team</w:t>
      </w:r>
      <w:r>
        <w:rPr>
          <w:rFonts w:ascii="Arial" w:eastAsia="Arial" w:hAnsi="Arial" w:cs="Arial"/>
          <w:sz w:val="20"/>
          <w:szCs w:val="20"/>
        </w:rPr>
        <w:t>:</w:t>
      </w:r>
    </w:p>
    <w:p>
      <w:pPr>
        <w:spacing w:before="0" w:after="0" w:line="276" w:lineRule="auto"/>
        <w:ind w:left="1778"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Invigilator(s):</w:t>
      </w:r>
    </w:p>
    <w:p>
      <w:pPr>
        <w:spacing w:before="0" w:after="0" w:line="276" w:lineRule="auto"/>
        <w:ind w:left="1778"/>
        <w:rPr>
          <w:sz w:val="20"/>
          <w:szCs w:val="20"/>
        </w:rPr>
      </w:pPr>
      <w:r>
        <w:rPr>
          <w:rFonts w:ascii="Arial" w:eastAsia="Arial" w:hAnsi="Arial" w:cs="Arial"/>
          <w:sz w:val="20"/>
          <w:szCs w:val="20"/>
        </w:rPr>
        <w:t xml:space="preserve">Appointment letter of invigilator(s) – (ratio 1 invigilator to 15 learners). </w:t>
      </w:r>
    </w:p>
    <w:p>
      <w:pPr>
        <w:spacing w:before="0" w:after="0" w:line="276" w:lineRule="auto"/>
        <w:ind w:left="1418"/>
        <w:rPr>
          <w:sz w:val="20"/>
          <w:szCs w:val="20"/>
        </w:rPr>
      </w:pPr>
    </w:p>
    <w:p>
      <w:pPr>
        <w:spacing w:before="0" w:after="0" w:line="276" w:lineRule="auto"/>
        <w:ind w:left="1767"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Chief Invigilator:</w:t>
      </w:r>
    </w:p>
    <w:p>
      <w:pPr>
        <w:spacing w:before="0" w:after="0" w:line="276" w:lineRule="auto"/>
        <w:ind w:left="1920" w:hanging="360"/>
        <w:rPr>
          <w:sz w:val="20"/>
          <w:szCs w:val="20"/>
        </w:rPr>
      </w:pPr>
      <w:r>
        <w:rPr>
          <w:rFonts w:ascii="Wingdings" w:eastAsia="Wingdings" w:hAnsi="Wingdings" w:cs="Wingdings"/>
          <w:sz w:val="20"/>
          <w:szCs w:val="20"/>
        </w:rPr>
        <w:sym w:font="Wingdings" w:char="F0FC"/>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CV of Chief Invigilator indicating minimum 2 years previous experience in education and training field.</w:t>
      </w:r>
    </w:p>
    <w:p>
      <w:pPr>
        <w:spacing w:before="0" w:after="0" w:line="276" w:lineRule="auto"/>
        <w:ind w:left="1920" w:hanging="360"/>
        <w:rPr>
          <w:sz w:val="20"/>
          <w:szCs w:val="20"/>
        </w:rPr>
      </w:pPr>
      <w:r>
        <w:rPr>
          <w:rFonts w:ascii="Wingdings" w:eastAsia="Wingdings" w:hAnsi="Wingdings" w:cs="Wingdings"/>
          <w:sz w:val="20"/>
          <w:szCs w:val="20"/>
        </w:rPr>
        <w:sym w:font="Wingdings" w:char="F0FC"/>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Appointment letter (</w:t>
      </w:r>
      <w:r>
        <w:rPr>
          <w:rFonts w:ascii="Arial" w:eastAsia="Arial" w:hAnsi="Arial" w:cs="Arial"/>
          <w:b/>
          <w:bCs/>
          <w:sz w:val="20"/>
          <w:szCs w:val="20"/>
        </w:rPr>
        <w:t>must clearly indicate</w:t>
      </w:r>
      <w:r>
        <w:rPr>
          <w:rFonts w:ascii="Arial" w:eastAsia="Arial" w:hAnsi="Arial" w:cs="Arial"/>
          <w:sz w:val="20"/>
          <w:szCs w:val="20"/>
        </w:rPr>
        <w:t xml:space="preserve"> </w:t>
      </w:r>
      <w:r>
        <w:rPr>
          <w:rFonts w:ascii="Arial" w:eastAsia="Arial" w:hAnsi="Arial" w:cs="Arial"/>
          <w:b/>
          <w:bCs/>
          <w:sz w:val="20"/>
          <w:szCs w:val="20"/>
        </w:rPr>
        <w:t xml:space="preserve">the </w:t>
      </w:r>
      <w:r>
        <w:rPr>
          <w:rFonts w:ascii="Arial" w:eastAsia="Arial" w:hAnsi="Arial" w:cs="Arial"/>
          <w:b/>
          <w:bCs/>
          <w:sz w:val="20"/>
          <w:szCs w:val="20"/>
        </w:rPr>
        <w:t>roles and responsibilities of the Chief Invigilator</w:t>
      </w:r>
      <w:r>
        <w:rPr>
          <w:rFonts w:ascii="Arial" w:eastAsia="Arial" w:hAnsi="Arial" w:cs="Arial"/>
          <w:sz w:val="20"/>
          <w:szCs w:val="20"/>
        </w:rPr>
        <w:t>).</w:t>
      </w:r>
    </w:p>
    <w:p>
      <w:pPr>
        <w:spacing w:before="0" w:after="0" w:line="276" w:lineRule="auto"/>
        <w:ind w:left="1211"/>
        <w:rPr>
          <w:sz w:val="20"/>
          <w:szCs w:val="20"/>
        </w:rPr>
      </w:pPr>
    </w:p>
    <w:p>
      <w:pPr>
        <w:spacing w:before="0" w:after="0" w:line="276" w:lineRule="auto"/>
        <w:ind w:left="1211"/>
        <w:rPr>
          <w:sz w:val="20"/>
          <w:szCs w:val="20"/>
        </w:rPr>
      </w:pPr>
      <w:r>
        <w:rPr>
          <w:rFonts w:ascii="Arial" w:eastAsia="Arial" w:hAnsi="Arial" w:cs="Arial"/>
          <w:sz w:val="20"/>
          <w:szCs w:val="20"/>
        </w:rPr>
        <w:t xml:space="preserve">NB: The number Invigilators appointed must be in-line with the ratio of number of learners as per Guidelines </w:t>
      </w:r>
      <w:r>
        <w:rPr>
          <w:rFonts w:ascii="Arial" w:eastAsia="Arial" w:hAnsi="Arial" w:cs="Arial"/>
          <w:sz w:val="20"/>
          <w:szCs w:val="20"/>
        </w:rPr>
        <w:t>(</w:t>
      </w:r>
      <w:r>
        <w:rPr>
          <w:rFonts w:ascii="Arial" w:eastAsia="Arial" w:hAnsi="Arial" w:cs="Arial"/>
          <w:b/>
          <w:bCs/>
          <w:i/>
          <w:iCs/>
          <w:sz w:val="20"/>
          <w:szCs w:val="20"/>
        </w:rPr>
        <w:t>ratio 1 invigilator to 15 learners</w:t>
      </w:r>
      <w:r>
        <w:rPr>
          <w:rFonts w:ascii="Arial" w:eastAsia="Arial" w:hAnsi="Arial" w:cs="Arial"/>
          <w:sz w:val="20"/>
          <w:szCs w:val="20"/>
        </w:rPr>
        <w:t>)</w:t>
      </w:r>
    </w:p>
    <w:p>
      <w:pPr>
        <w:spacing w:before="0" w:after="0" w:line="276" w:lineRule="auto"/>
        <w:ind w:left="1211"/>
        <w:rPr>
          <w:sz w:val="20"/>
          <w:szCs w:val="20"/>
        </w:rPr>
      </w:pPr>
      <w:r>
        <w:rPr>
          <w:rFonts w:ascii="Arial" w:eastAsia="Arial" w:hAnsi="Arial" w:cs="Arial"/>
          <w:b/>
          <w:bCs/>
          <w:sz w:val="20"/>
          <w:szCs w:val="20"/>
        </w:rPr>
        <w:t>Example:</w:t>
      </w:r>
    </w:p>
    <w:p>
      <w:pPr>
        <w:spacing w:before="0" w:after="0" w:line="276" w:lineRule="auto"/>
        <w:ind w:left="1211"/>
        <w:rPr>
          <w:sz w:val="20"/>
          <w:szCs w:val="20"/>
        </w:rPr>
      </w:pPr>
      <w:r>
        <w:rPr>
          <w:rFonts w:ascii="Arial" w:eastAsia="Arial" w:hAnsi="Arial" w:cs="Arial"/>
          <w:sz w:val="20"/>
          <w:szCs w:val="20"/>
        </w:rPr>
        <w:t>1 - 15 learners = 1 invigilator</w:t>
      </w:r>
    </w:p>
    <w:p>
      <w:pPr>
        <w:spacing w:before="0" w:after="0" w:line="276" w:lineRule="auto"/>
        <w:ind w:left="1211"/>
        <w:rPr>
          <w:sz w:val="20"/>
          <w:szCs w:val="20"/>
        </w:rPr>
      </w:pPr>
      <w:r>
        <w:rPr>
          <w:rFonts w:ascii="Arial" w:eastAsia="Arial" w:hAnsi="Arial" w:cs="Arial"/>
          <w:sz w:val="20"/>
          <w:szCs w:val="20"/>
        </w:rPr>
        <w:t>16 to 30 learners = 2 invigilators</w:t>
      </w:r>
    </w:p>
    <w:p>
      <w:pPr>
        <w:spacing w:before="0" w:after="0" w:line="276" w:lineRule="auto"/>
        <w:ind w:left="720" w:firstLine="491"/>
        <w:jc w:val="both"/>
        <w:rPr>
          <w:sz w:val="20"/>
          <w:szCs w:val="20"/>
        </w:rPr>
      </w:pPr>
      <w:r>
        <w:rPr>
          <w:rFonts w:ascii="Arial" w:eastAsia="Arial" w:hAnsi="Arial" w:cs="Arial"/>
          <w:sz w:val="20"/>
          <w:szCs w:val="20"/>
        </w:rPr>
        <w:t xml:space="preserve"> </w:t>
      </w:r>
      <w:r>
        <w:rPr>
          <w:rFonts w:ascii="Arial" w:eastAsia="Arial" w:hAnsi="Arial" w:cs="Arial"/>
          <w:sz w:val="20"/>
          <w:szCs w:val="20"/>
        </w:rPr>
        <w:t>31 to 45 learners = 3 invigilators etc</w:t>
      </w:r>
    </w:p>
    <w:p>
      <w:pPr>
        <w:sectPr>
          <w:headerReference w:type="default" r:id="rId9"/>
          <w:type w:val="nextPage"/>
          <w:pgSz w:w="11906" w:h="16838"/>
          <w:pgMar w:top="822" w:right="1525" w:bottom="1440" w:left="777" w:header="708" w:footer="708"/>
          <w:cols w:space="708"/>
        </w:sectPr>
      </w:pPr>
    </w:p>
    <w:p>
      <w:pPr>
        <w:spacing w:before="0" w:after="200" w:line="276" w:lineRule="auto"/>
        <w:ind w:left="720" w:hanging="720"/>
        <w:rPr>
          <w:sz w:val="20"/>
          <w:szCs w:val="20"/>
        </w:rPr>
      </w:pPr>
      <w:r>
        <w:rPr>
          <w:rFonts w:ascii="Arial" w:eastAsia="Arial" w:hAnsi="Arial" w:cs="Arial"/>
          <w:b/>
          <w:bCs/>
          <w:sz w:val="20"/>
          <w:szCs w:val="20"/>
        </w:rPr>
        <w:t>13.9.</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    </w:t>
      </w:r>
      <w:r>
        <w:rPr>
          <w:rFonts w:ascii="Arial" w:eastAsia="Arial" w:hAnsi="Arial" w:cs="Arial"/>
          <w:b/>
          <w:bCs/>
          <w:sz w:val="20"/>
          <w:szCs w:val="20"/>
        </w:rPr>
        <w:t xml:space="preserve">PRICING SCHEDULE </w:t>
      </w:r>
    </w:p>
    <w:p>
      <w:pPr>
        <w:tabs>
          <w:tab w:val="left" w:pos="993"/>
        </w:tabs>
        <w:spacing w:before="0" w:after="0" w:line="276" w:lineRule="auto"/>
        <w:ind w:left="851"/>
        <w:rPr>
          <w:sz w:val="20"/>
          <w:szCs w:val="20"/>
        </w:rPr>
      </w:pPr>
      <w:r>
        <w:rPr>
          <w:sz w:val="20"/>
          <w:szCs w:val="20"/>
        </w:rPr>
        <w:tab/>
      </w:r>
      <w:r>
        <w:rPr>
          <w:rFonts w:ascii="Arial" w:eastAsia="Arial" w:hAnsi="Arial" w:cs="Arial"/>
          <w:sz w:val="20"/>
          <w:szCs w:val="20"/>
        </w:rPr>
        <w:t xml:space="preserve">Bidders are required to submit a detailed costing aligned to the deliverables. The proposed </w:t>
      </w:r>
      <w:r>
        <w:rPr>
          <w:rFonts w:ascii="Arial" w:eastAsia="Arial" w:hAnsi="Arial" w:cs="Arial"/>
          <w:sz w:val="20"/>
          <w:szCs w:val="20"/>
        </w:rPr>
        <w:t xml:space="preserve">  </w:t>
      </w:r>
    </w:p>
    <w:p>
      <w:pPr>
        <w:spacing w:before="0" w:after="200" w:line="276" w:lineRule="auto"/>
        <w:ind w:left="851"/>
        <w:rPr>
          <w:sz w:val="20"/>
          <w:szCs w:val="20"/>
        </w:rPr>
      </w:pP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project costs must be inclusive of VAT.</w:t>
      </w:r>
    </w:p>
    <w:p>
      <w:pPr>
        <w:numPr>
          <w:ilvl w:val="0"/>
          <w:numId w:val="28"/>
        </w:numPr>
        <w:pBdr>
          <w:left w:val="none" w:sz="0" w:space="8" w:color="auto"/>
        </w:pBdr>
        <w:spacing w:before="0"/>
        <w:ind w:left="1429" w:right="0" w:hanging="424"/>
        <w:jc w:val="left"/>
        <w:rPr>
          <w:rFonts w:ascii="Times New Roman" w:eastAsia="Times New Roman" w:hAnsi="Times New Roman" w:cs="Times New Roman"/>
          <w:sz w:val="20"/>
          <w:szCs w:val="20"/>
        </w:rPr>
      </w:pPr>
      <w:r>
        <w:rPr>
          <w:rFonts w:ascii="Arial" w:eastAsia="Arial" w:hAnsi="Arial" w:cs="Arial"/>
          <w:sz w:val="20"/>
          <w:szCs w:val="20"/>
        </w:rPr>
        <w:t>Conduct Administration &amp; Provide Security of FISA instruments</w:t>
      </w:r>
      <w:r>
        <w:rPr>
          <w:rFonts w:ascii="Arial" w:eastAsia="Arial" w:hAnsi="Arial" w:cs="Arial"/>
          <w:sz w:val="20"/>
          <w:szCs w:val="20"/>
        </w:rPr>
        <w:t xml:space="preserve"> (refer to Deliverables)</w:t>
      </w:r>
    </w:p>
    <w:p>
      <w:pPr>
        <w:numPr>
          <w:ilvl w:val="0"/>
          <w:numId w:val="28"/>
        </w:numPr>
        <w:pBdr>
          <w:left w:val="none" w:sz="0" w:space="8" w:color="auto"/>
        </w:pBdr>
        <w:spacing w:after="200" w:line="276" w:lineRule="auto"/>
        <w:ind w:left="1429" w:right="0" w:hanging="424"/>
        <w:jc w:val="left"/>
        <w:rPr>
          <w:rFonts w:ascii="Times New Roman" w:eastAsia="Times New Roman" w:hAnsi="Times New Roman" w:cs="Times New Roman"/>
          <w:sz w:val="20"/>
          <w:szCs w:val="20"/>
        </w:rPr>
      </w:pPr>
      <w:r>
        <w:rPr>
          <w:rFonts w:ascii="Arial" w:eastAsia="Arial" w:hAnsi="Arial" w:cs="Arial"/>
          <w:sz w:val="20"/>
          <w:szCs w:val="20"/>
        </w:rPr>
        <w:t>Hosting of FISA examinations (refer to Deliverables)</w:t>
      </w:r>
    </w:p>
    <w:p>
      <w:pPr>
        <w:spacing w:before="0" w:after="0" w:line="276" w:lineRule="auto"/>
        <w:ind w:left="709"/>
        <w:rPr>
          <w:sz w:val="20"/>
          <w:szCs w:val="20"/>
        </w:rPr>
      </w:pPr>
      <w:r>
        <w:rPr>
          <w:rFonts w:ascii="Arial" w:eastAsia="Arial" w:hAnsi="Arial" w:cs="Arial"/>
          <w:b/>
          <w:bCs/>
          <w:sz w:val="20"/>
          <w:szCs w:val="20"/>
        </w:rPr>
        <w:t xml:space="preserve">NB: </w:t>
      </w:r>
      <w:r>
        <w:rPr>
          <w:rFonts w:ascii="Arial" w:eastAsia="Arial" w:hAnsi="Arial" w:cs="Arial"/>
          <w:i/>
          <w:iCs/>
          <w:sz w:val="20"/>
          <w:szCs w:val="20"/>
        </w:rPr>
        <w:t>INSETA reserves the right to reduce number learners proposed by a Training Provider subject to available budget</w:t>
      </w:r>
    </w:p>
    <w:p>
      <w:pPr>
        <w:spacing w:before="0" w:after="200" w:line="276" w:lineRule="auto"/>
        <w:ind w:left="709"/>
        <w:rPr>
          <w:sz w:val="20"/>
          <w:szCs w:val="20"/>
        </w:rPr>
      </w:pPr>
    </w:p>
    <w:p>
      <w:pPr>
        <w:spacing w:before="0" w:after="0" w:line="276" w:lineRule="auto"/>
        <w:ind w:left="720" w:hanging="720"/>
        <w:jc w:val="both"/>
        <w:rPr>
          <w:sz w:val="20"/>
          <w:szCs w:val="20"/>
        </w:rPr>
      </w:pPr>
      <w:r>
        <w:rPr>
          <w:rFonts w:ascii="Arial" w:eastAsia="Arial" w:hAnsi="Arial" w:cs="Arial"/>
          <w:b/>
          <w:bCs/>
          <w:sz w:val="20"/>
          <w:szCs w:val="20"/>
        </w:rPr>
        <w:t>13.10.</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AWARDING OF POINTS FOR PREFERENCES/GOALS</w:t>
      </w:r>
    </w:p>
    <w:p>
      <w:pPr>
        <w:spacing w:before="0" w:after="0" w:line="276" w:lineRule="auto"/>
        <w:rPr>
          <w:sz w:val="20"/>
          <w:szCs w:val="20"/>
        </w:rPr>
      </w:pPr>
    </w:p>
    <w:p>
      <w:pPr>
        <w:spacing w:before="0" w:after="0" w:line="276" w:lineRule="auto"/>
        <w:ind w:left="1134"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Points for B-BBEE Status Level of Contribution will be awarded according to the table indicated in the preference points claim form(s).</w:t>
      </w:r>
    </w:p>
    <w:p>
      <w:pPr>
        <w:spacing w:before="0" w:after="0" w:line="276" w:lineRule="auto"/>
        <w:ind w:left="1134" w:hanging="36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B-BBEE Status Level of Contribution marks for each bid will now be added to the price mark for that bid </w:t>
      </w:r>
    </w:p>
    <w:tbl>
      <w:tblPr>
        <w:tblW w:w="9639" w:type="dxa"/>
        <w:tblInd w:w="958" w:type="dxa"/>
        <w:tblCellMar>
          <w:top w:w="0" w:type="dxa"/>
          <w:left w:w="0" w:type="dxa"/>
          <w:bottom w:w="0" w:type="dxa"/>
          <w:right w:w="0" w:type="dxa"/>
        </w:tblCellMar>
      </w:tblPr>
      <w:tblGrid>
        <w:gridCol w:w="5348"/>
        <w:gridCol w:w="4291"/>
      </w:tblGrid>
      <w:tr>
        <w:tblPrEx>
          <w:tblW w:w="9639" w:type="dxa"/>
          <w:tblInd w:w="958" w:type="dxa"/>
          <w:tblCellMar>
            <w:top w:w="0" w:type="dxa"/>
            <w:left w:w="0" w:type="dxa"/>
            <w:bottom w:w="0" w:type="dxa"/>
            <w:right w:w="0" w:type="dxa"/>
          </w:tblCellMar>
        </w:tblPrEx>
        <w:tc>
          <w:tcPr>
            <w:tcW w:w="5310" w:type="dxa"/>
            <w:tcBorders>
              <w:top w:val="single" w:sz="18" w:space="0" w:color="000000"/>
              <w:left w:val="single" w:sz="18" w:space="0" w:color="000000"/>
              <w:bottom w:val="single" w:sz="18" w:space="0" w:color="000000"/>
              <w:right w:val="single" w:sz="6" w:space="0" w:color="000000"/>
            </w:tcBorders>
            <w:shd w:val="clear" w:color="auto" w:fill="F2F2F2"/>
            <w:noWrap w:val="0"/>
            <w:tcMar>
              <w:top w:w="22" w:type="dxa"/>
              <w:left w:w="108" w:type="dxa"/>
              <w:bottom w:w="22"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PRICE AND PREFERENCE POINTS</w:t>
            </w:r>
          </w:p>
        </w:tc>
        <w:tc>
          <w:tcPr>
            <w:tcW w:w="4329" w:type="dxa"/>
            <w:tcBorders>
              <w:top w:val="single" w:sz="18" w:space="0" w:color="000000"/>
              <w:left w:val="single" w:sz="6" w:space="0" w:color="000000"/>
              <w:bottom w:val="single" w:sz="18" w:space="0" w:color="000000"/>
              <w:right w:val="single" w:sz="18" w:space="0" w:color="000000"/>
            </w:tcBorders>
            <w:shd w:val="clear" w:color="auto" w:fill="F2F2F2"/>
            <w:noWrap w:val="0"/>
            <w:tcMar>
              <w:top w:w="22" w:type="dxa"/>
              <w:left w:w="108" w:type="dxa"/>
              <w:bottom w:w="22"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MAXIMUM TO BE AWARDED</w:t>
            </w:r>
          </w:p>
        </w:tc>
      </w:tr>
      <w:tr>
        <w:tblPrEx>
          <w:tblW w:w="9639" w:type="dxa"/>
          <w:tblInd w:w="958" w:type="dxa"/>
          <w:tblCellMar>
            <w:top w:w="0" w:type="dxa"/>
            <w:left w:w="0" w:type="dxa"/>
            <w:bottom w:w="0" w:type="dxa"/>
            <w:right w:w="0" w:type="dxa"/>
          </w:tblCellMar>
        </w:tblPrEx>
        <w:tc>
          <w:tcPr>
            <w:tcW w:w="5310" w:type="dxa"/>
            <w:tcBorders>
              <w:top w:val="single" w:sz="18" w:space="0" w:color="000000"/>
              <w:left w:val="single" w:sz="18" w:space="0" w:color="000000"/>
              <w:bottom w:val="single" w:sz="6" w:space="0" w:color="000000"/>
              <w:right w:val="single" w:sz="6" w:space="0" w:color="000000"/>
            </w:tcBorders>
            <w:noWrap w:val="0"/>
            <w:tcMar>
              <w:top w:w="22" w:type="dxa"/>
              <w:left w:w="108" w:type="dxa"/>
              <w:bottom w:w="8" w:type="dxa"/>
              <w:right w:w="108" w:type="dxa"/>
            </w:tcMar>
            <w:vAlign w:val="center"/>
            <w:hideMark/>
          </w:tcPr>
          <w:p>
            <w:pPr>
              <w:numPr>
                <w:ilvl w:val="0"/>
                <w:numId w:val="29"/>
              </w:numPr>
              <w:pBdr>
                <w:left w:val="none" w:sz="0" w:space="29" w:color="auto"/>
              </w:pBdr>
              <w:spacing w:before="60" w:after="60" w:line="276" w:lineRule="auto"/>
              <w:ind w:left="851" w:right="0" w:hanging="834"/>
              <w:jc w:val="lef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Price</w:t>
            </w:r>
          </w:p>
        </w:tc>
        <w:tc>
          <w:tcPr>
            <w:tcW w:w="4329" w:type="dxa"/>
            <w:tcBorders>
              <w:top w:val="single" w:sz="18" w:space="0" w:color="000000"/>
              <w:left w:val="single" w:sz="6" w:space="0" w:color="000000"/>
              <w:bottom w:val="single" w:sz="6" w:space="0" w:color="000000"/>
              <w:right w:val="single" w:sz="18" w:space="0" w:color="000000"/>
            </w:tcBorders>
            <w:noWrap w:val="0"/>
            <w:tcMar>
              <w:top w:w="22" w:type="dxa"/>
              <w:left w:w="108" w:type="dxa"/>
              <w:bottom w:w="8" w:type="dxa"/>
              <w:right w:w="108" w:type="dxa"/>
            </w:tcMar>
            <w:vAlign w:val="center"/>
          </w:tcPr>
          <w:p>
            <w:pPr>
              <w:spacing w:before="60" w:after="60" w:line="276" w:lineRule="auto"/>
              <w:rPr>
                <w:b w:val="0"/>
                <w:bCs w:val="0"/>
                <w:i w:val="0"/>
                <w:iCs w:val="0"/>
                <w:smallCaps w:val="0"/>
                <w:color w:val="000000"/>
                <w:sz w:val="20"/>
                <w:szCs w:val="20"/>
              </w:rPr>
            </w:pPr>
          </w:p>
        </w:tc>
      </w:tr>
      <w:tr>
        <w:tblPrEx>
          <w:tblW w:w="9639" w:type="dxa"/>
          <w:tblInd w:w="958" w:type="dxa"/>
          <w:tblCellMar>
            <w:top w:w="0" w:type="dxa"/>
            <w:left w:w="0" w:type="dxa"/>
            <w:bottom w:w="0" w:type="dxa"/>
            <w:right w:w="0" w:type="dxa"/>
          </w:tblCellMar>
        </w:tblPrEx>
        <w:tc>
          <w:tcPr>
            <w:tcW w:w="5310" w:type="dxa"/>
            <w:tcBorders>
              <w:top w:val="single" w:sz="6" w:space="0" w:color="000000"/>
              <w:left w:val="single" w:sz="18" w:space="0" w:color="000000"/>
              <w:bottom w:val="single" w:sz="6" w:space="0" w:color="000000"/>
              <w:right w:val="single" w:sz="6" w:space="0" w:color="000000"/>
            </w:tcBorders>
            <w:noWrap w:val="0"/>
            <w:tcMar>
              <w:top w:w="8" w:type="dxa"/>
              <w:left w:w="108" w:type="dxa"/>
              <w:bottom w:w="8" w:type="dxa"/>
              <w:right w:w="108" w:type="dxa"/>
            </w:tcMar>
            <w:vAlign w:val="center"/>
            <w:hideMark/>
          </w:tcPr>
          <w:p>
            <w:pPr>
              <w:spacing w:before="60" w:after="60" w:line="276" w:lineRule="auto"/>
              <w:ind w:left="1208" w:hanging="357"/>
              <w:rPr>
                <w:b w:val="0"/>
                <w:bCs w:val="0"/>
                <w:i w:val="0"/>
                <w:iCs w:val="0"/>
                <w:smallCaps w:val="0"/>
                <w:color w:val="000000"/>
                <w:sz w:val="20"/>
                <w:szCs w:val="20"/>
              </w:rPr>
            </w:pPr>
            <w:r>
              <w:rPr>
                <w:rFonts w:ascii="Wingdings" w:eastAsia="Wingdings" w:hAnsi="Wingdings" w:cs="Wingdings"/>
                <w:b w:val="0"/>
                <w:bCs w:val="0"/>
                <w:i w:val="0"/>
                <w:iCs w:val="0"/>
                <w:smallCaps w:val="0"/>
                <w:color w:val="000000"/>
                <w:sz w:val="22"/>
                <w:szCs w:val="22"/>
              </w:rPr>
              <w:sym w:font="Wingdings" w:char="F072"/>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Relative competitiveness of proposed price</w:t>
            </w:r>
          </w:p>
        </w:tc>
        <w:tc>
          <w:tcPr>
            <w:tcW w:w="4329" w:type="dxa"/>
            <w:tcBorders>
              <w:top w:val="single" w:sz="6" w:space="0" w:color="000000"/>
              <w:left w:val="single" w:sz="6" w:space="0" w:color="000000"/>
              <w:bottom w:val="single" w:sz="6" w:space="0" w:color="000000"/>
              <w:right w:val="single" w:sz="18" w:space="0" w:color="000000"/>
            </w:tcBorders>
            <w:noWrap w:val="0"/>
            <w:tcMar>
              <w:top w:w="8"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80</w:t>
            </w:r>
          </w:p>
        </w:tc>
      </w:tr>
      <w:tr>
        <w:tblPrEx>
          <w:tblW w:w="9639" w:type="dxa"/>
          <w:tblInd w:w="958" w:type="dxa"/>
          <w:tblCellMar>
            <w:top w:w="0" w:type="dxa"/>
            <w:left w:w="0" w:type="dxa"/>
            <w:bottom w:w="0" w:type="dxa"/>
            <w:right w:w="0" w:type="dxa"/>
          </w:tblCellMar>
        </w:tblPrEx>
        <w:tc>
          <w:tcPr>
            <w:tcW w:w="5310" w:type="dxa"/>
            <w:tcBorders>
              <w:top w:val="single" w:sz="18" w:space="0" w:color="000000"/>
              <w:left w:val="single" w:sz="18" w:space="0" w:color="000000"/>
              <w:bottom w:val="single" w:sz="6" w:space="0" w:color="000000"/>
              <w:right w:val="single" w:sz="6" w:space="0" w:color="000000"/>
            </w:tcBorders>
            <w:noWrap w:val="0"/>
            <w:tcMar>
              <w:top w:w="22" w:type="dxa"/>
              <w:left w:w="108" w:type="dxa"/>
              <w:bottom w:w="8" w:type="dxa"/>
              <w:right w:w="108" w:type="dxa"/>
            </w:tcMar>
            <w:vAlign w:val="center"/>
            <w:hideMark/>
          </w:tcPr>
          <w:p>
            <w:pPr>
              <w:numPr>
                <w:ilvl w:val="0"/>
                <w:numId w:val="30"/>
              </w:numPr>
              <w:pBdr>
                <w:left w:val="none" w:sz="0" w:space="29" w:color="auto"/>
              </w:pBdr>
              <w:spacing w:before="60" w:after="60" w:line="276" w:lineRule="auto"/>
              <w:ind w:left="851" w:right="0" w:hanging="834"/>
              <w:jc w:val="lef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B-BBEE</w:t>
            </w:r>
            <w:r>
              <w:rPr>
                <w:rFonts w:ascii="Arial" w:eastAsia="Arial" w:hAnsi="Arial" w:cs="Arial"/>
                <w:b/>
                <w:bCs/>
                <w:i w:val="0"/>
                <w:iCs w:val="0"/>
                <w:smallCaps w:val="0"/>
                <w:color w:val="000000"/>
                <w:sz w:val="20"/>
                <w:szCs w:val="20"/>
              </w:rPr>
              <w:t xml:space="preserve"> Status Level of Contribution</w:t>
            </w:r>
          </w:p>
        </w:tc>
        <w:tc>
          <w:tcPr>
            <w:tcW w:w="4329" w:type="dxa"/>
            <w:tcBorders>
              <w:top w:val="single" w:sz="18" w:space="0" w:color="000000"/>
              <w:left w:val="single" w:sz="6" w:space="0" w:color="000000"/>
              <w:bottom w:val="single" w:sz="6" w:space="0" w:color="000000"/>
              <w:right w:val="single" w:sz="18" w:space="0" w:color="000000"/>
            </w:tcBorders>
            <w:noWrap w:val="0"/>
            <w:tcMar>
              <w:top w:w="22"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r>
        <w:tblPrEx>
          <w:tblW w:w="9639" w:type="dxa"/>
          <w:tblInd w:w="958" w:type="dxa"/>
          <w:tblCellMar>
            <w:top w:w="0" w:type="dxa"/>
            <w:left w:w="0" w:type="dxa"/>
            <w:bottom w:w="0" w:type="dxa"/>
            <w:right w:w="0" w:type="dxa"/>
          </w:tblCellMar>
        </w:tblPrEx>
        <w:tc>
          <w:tcPr>
            <w:tcW w:w="5310" w:type="dxa"/>
            <w:tcBorders>
              <w:top w:val="single" w:sz="6" w:space="0" w:color="000000"/>
              <w:left w:val="single" w:sz="18" w:space="0" w:color="000000"/>
              <w:bottom w:val="single" w:sz="6" w:space="0" w:color="000000"/>
              <w:right w:val="single" w:sz="6" w:space="0" w:color="000000"/>
            </w:tcBorders>
            <w:noWrap w:val="0"/>
            <w:tcMar>
              <w:top w:w="8"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TOTAL FOR PRICE AND PREFERENCE</w:t>
            </w:r>
          </w:p>
        </w:tc>
        <w:tc>
          <w:tcPr>
            <w:tcW w:w="4329" w:type="dxa"/>
            <w:tcBorders>
              <w:top w:val="single" w:sz="6" w:space="0" w:color="000000"/>
              <w:left w:val="single" w:sz="6" w:space="0" w:color="000000"/>
              <w:bottom w:val="single" w:sz="6" w:space="0" w:color="000000"/>
              <w:right w:val="single" w:sz="18" w:space="0" w:color="000000"/>
            </w:tcBorders>
            <w:noWrap w:val="0"/>
            <w:tcMar>
              <w:top w:w="8"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100</w:t>
            </w:r>
          </w:p>
        </w:tc>
      </w:tr>
    </w:tbl>
    <w:p>
      <w:pPr>
        <w:spacing w:before="0" w:after="0" w:line="276" w:lineRule="auto"/>
        <w:rPr>
          <w:sz w:val="20"/>
          <w:szCs w:val="20"/>
        </w:rPr>
      </w:pPr>
    </w:p>
    <w:p>
      <w:pPr>
        <w:spacing w:before="0" w:after="0" w:line="360" w:lineRule="auto"/>
        <w:ind w:left="720" w:hanging="720"/>
        <w:rPr>
          <w:sz w:val="20"/>
          <w:szCs w:val="20"/>
        </w:rPr>
      </w:pPr>
      <w:r>
        <w:rPr>
          <w:rFonts w:ascii="Arial" w:eastAsia="Arial" w:hAnsi="Arial" w:cs="Arial"/>
          <w:b/>
          <w:bCs/>
          <w:sz w:val="20"/>
          <w:szCs w:val="20"/>
        </w:rPr>
        <w:t>13.11.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Phase </w:t>
      </w:r>
      <w:r>
        <w:rPr>
          <w:rFonts w:ascii="Arial" w:eastAsia="Arial" w:hAnsi="Arial" w:cs="Arial"/>
          <w:b/>
          <w:bCs/>
          <w:sz w:val="20"/>
          <w:szCs w:val="20"/>
        </w:rPr>
        <w:t>5</w:t>
      </w:r>
      <w:r>
        <w:rPr>
          <w:rFonts w:ascii="Arial" w:eastAsia="Arial" w:hAnsi="Arial" w:cs="Arial"/>
          <w:b/>
          <w:bCs/>
          <w:sz w:val="20"/>
          <w:szCs w:val="20"/>
        </w:rPr>
        <w:t xml:space="preserve">–Objective Criteria </w:t>
      </w:r>
    </w:p>
    <w:p>
      <w:pPr>
        <w:spacing w:before="0" w:after="0" w:line="360" w:lineRule="auto"/>
        <w:ind w:left="720"/>
        <w:rPr>
          <w:sz w:val="20"/>
          <w:szCs w:val="20"/>
        </w:rPr>
      </w:pPr>
    </w:p>
    <w:p>
      <w:pPr>
        <w:spacing w:before="0" w:after="0" w:line="360" w:lineRule="auto"/>
        <w:ind w:left="720"/>
        <w:jc w:val="both"/>
        <w:rPr>
          <w:sz w:val="20"/>
          <w:szCs w:val="20"/>
        </w:rPr>
      </w:pPr>
      <w:r>
        <w:rPr>
          <w:rFonts w:ascii="Arial" w:eastAsia="Arial" w:hAnsi="Arial" w:cs="Arial"/>
          <w:sz w:val="20"/>
          <w:szCs w:val="20"/>
        </w:rPr>
        <w:t>In terms of Preferential Procurement Regulation 11 and section 2(1)(f) of the Preferential Procurement Policy Framework Act, the following are the objective criteria:</w:t>
      </w:r>
    </w:p>
    <w:p>
      <w:pPr>
        <w:numPr>
          <w:ilvl w:val="0"/>
          <w:numId w:val="31"/>
        </w:numPr>
        <w:pBdr>
          <w:left w:val="none" w:sz="0" w:space="8" w:color="auto"/>
        </w:pBdr>
        <w:spacing w:before="0" w:line="360" w:lineRule="auto"/>
        <w:ind w:left="1211" w:right="0" w:hanging="424"/>
        <w:jc w:val="both"/>
        <w:rPr>
          <w:rFonts w:ascii="Times New Roman" w:eastAsia="Times New Roman" w:hAnsi="Times New Roman" w:cs="Times New Roman"/>
          <w:sz w:val="20"/>
          <w:szCs w:val="20"/>
        </w:rPr>
      </w:pPr>
      <w:r>
        <w:rPr>
          <w:rFonts w:ascii="Arial" w:eastAsia="Arial" w:hAnsi="Arial" w:cs="Arial"/>
          <w:sz w:val="22"/>
          <w:szCs w:val="22"/>
        </w:rPr>
        <w:t>The risk of fruitless and wasteful expenditure to INSETA;</w:t>
      </w:r>
    </w:p>
    <w:p>
      <w:pPr>
        <w:numPr>
          <w:ilvl w:val="0"/>
          <w:numId w:val="31"/>
        </w:numPr>
        <w:pBdr>
          <w:left w:val="none" w:sz="0" w:space="7" w:color="auto"/>
        </w:pBdr>
        <w:spacing w:line="360" w:lineRule="auto"/>
        <w:ind w:left="1211" w:right="0" w:hanging="430"/>
        <w:jc w:val="both"/>
        <w:rPr>
          <w:rFonts w:ascii="Times New Roman" w:eastAsia="Times New Roman" w:hAnsi="Times New Roman" w:cs="Times New Roman"/>
          <w:sz w:val="22"/>
          <w:szCs w:val="22"/>
        </w:rPr>
      </w:pPr>
      <w:r>
        <w:rPr>
          <w:rFonts w:ascii="Arial" w:eastAsia="Arial" w:hAnsi="Arial" w:cs="Arial"/>
          <w:sz w:val="22"/>
          <w:szCs w:val="22"/>
        </w:rPr>
        <w:t>The risk of Irregular expenditure to INSETA;</w:t>
      </w:r>
    </w:p>
    <w:p>
      <w:pPr>
        <w:numPr>
          <w:ilvl w:val="0"/>
          <w:numId w:val="31"/>
        </w:numPr>
        <w:pBdr>
          <w:left w:val="none" w:sz="0" w:space="7" w:color="auto"/>
        </w:pBdr>
        <w:spacing w:line="360" w:lineRule="auto"/>
        <w:ind w:left="1211" w:right="0" w:hanging="430"/>
        <w:jc w:val="both"/>
        <w:rPr>
          <w:rFonts w:ascii="Times New Roman" w:eastAsia="Times New Roman" w:hAnsi="Times New Roman" w:cs="Times New Roman"/>
          <w:sz w:val="22"/>
          <w:szCs w:val="22"/>
        </w:rPr>
      </w:pPr>
      <w:r>
        <w:rPr>
          <w:rFonts w:ascii="Arial" w:eastAsia="Arial" w:hAnsi="Arial" w:cs="Arial"/>
          <w:sz w:val="22"/>
          <w:szCs w:val="22"/>
        </w:rPr>
        <w:t>The risk of an abnormally low bid; and</w:t>
      </w:r>
    </w:p>
    <w:p>
      <w:pPr>
        <w:numPr>
          <w:ilvl w:val="0"/>
          <w:numId w:val="31"/>
        </w:numPr>
        <w:pBdr>
          <w:left w:val="none" w:sz="0" w:space="7" w:color="auto"/>
        </w:pBdr>
        <w:spacing w:after="0" w:line="360" w:lineRule="auto"/>
        <w:ind w:left="1211" w:right="0" w:hanging="430"/>
        <w:jc w:val="both"/>
        <w:rPr>
          <w:rFonts w:ascii="Times New Roman" w:eastAsia="Times New Roman" w:hAnsi="Times New Roman" w:cs="Times New Roman"/>
          <w:sz w:val="22"/>
          <w:szCs w:val="22"/>
        </w:rPr>
      </w:pPr>
      <w:r>
        <w:rPr>
          <w:rFonts w:ascii="Arial" w:eastAsia="Arial" w:hAnsi="Arial" w:cs="Arial"/>
          <w:sz w:val="22"/>
          <w:szCs w:val="22"/>
        </w:rPr>
        <w:t>The risk of a material irregularity.</w:t>
      </w:r>
    </w:p>
    <w:p>
      <w:pPr>
        <w:spacing w:before="0" w:after="0" w:line="360" w:lineRule="auto"/>
        <w:ind w:left="720"/>
        <w:jc w:val="both"/>
        <w:rPr>
          <w:sz w:val="20"/>
          <w:szCs w:val="20"/>
        </w:rPr>
      </w:pPr>
      <w:r>
        <w:rPr>
          <w:rFonts w:ascii="Arial" w:eastAsia="Arial" w:hAnsi="Arial" w:cs="Arial"/>
          <w:sz w:val="20"/>
          <w:szCs w:val="20"/>
        </w:rPr>
        <w:t xml:space="preserve">Should the recommended bidder pose any of the above-mentioned risks after assessment, INSETA will not make an award. </w:t>
      </w:r>
      <w:r>
        <w:rPr>
          <w:rFonts w:ascii="Arial" w:eastAsia="Arial" w:hAnsi="Arial" w:cs="Arial"/>
          <w:sz w:val="20"/>
          <w:szCs w:val="20"/>
        </w:rPr>
        <w:t> </w:t>
      </w:r>
    </w:p>
    <w:p>
      <w:pPr>
        <w:spacing w:before="0" w:after="0" w:line="360" w:lineRule="auto"/>
        <w:ind w:left="720"/>
        <w:jc w:val="both"/>
        <w:rPr>
          <w:sz w:val="20"/>
          <w:szCs w:val="20"/>
        </w:rPr>
      </w:pPr>
    </w:p>
    <w:p>
      <w:pPr>
        <w:spacing w:before="0" w:after="0" w:line="276" w:lineRule="auto"/>
        <w:ind w:left="720" w:hanging="720"/>
        <w:jc w:val="both"/>
        <w:rPr>
          <w:sz w:val="20"/>
          <w:szCs w:val="20"/>
        </w:rPr>
      </w:pPr>
      <w:r>
        <w:rPr>
          <w:rFonts w:ascii="Arial" w:eastAsia="Arial" w:hAnsi="Arial" w:cs="Arial"/>
          <w:b/>
          <w:bCs/>
          <w:sz w:val="20"/>
          <w:szCs w:val="20"/>
        </w:rPr>
        <w:t>13.12.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ADJUDICATION OF BID</w:t>
      </w:r>
    </w:p>
    <w:p>
      <w:pPr>
        <w:spacing w:before="0" w:after="0" w:line="276" w:lineRule="auto"/>
        <w:rPr>
          <w:sz w:val="20"/>
          <w:szCs w:val="20"/>
        </w:rPr>
      </w:pPr>
    </w:p>
    <w:p>
      <w:pPr>
        <w:spacing w:before="0" w:after="0" w:line="276" w:lineRule="auto"/>
        <w:ind w:left="1440" w:hanging="360"/>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Adjudication Committee will consider the recommendations and make the final award.</w:t>
      </w:r>
      <w:r>
        <w:rPr>
          <w:rFonts w:ascii="Arial" w:eastAsia="Arial" w:hAnsi="Arial" w:cs="Arial"/>
          <w:sz w:val="20"/>
          <w:szCs w:val="20"/>
        </w:rPr>
        <w:t xml:space="preserve">  </w:t>
      </w:r>
      <w:r>
        <w:rPr>
          <w:rFonts w:ascii="Arial" w:eastAsia="Arial" w:hAnsi="Arial" w:cs="Arial"/>
          <w:sz w:val="20"/>
          <w:szCs w:val="20"/>
        </w:rPr>
        <w:t xml:space="preserve">The successful bidder will usually be the service provider scoring the highest number of points </w:t>
      </w:r>
      <w:r>
        <w:rPr>
          <w:rFonts w:ascii="Arial" w:eastAsia="Arial" w:hAnsi="Arial" w:cs="Arial"/>
          <w:sz w:val="20"/>
          <w:szCs w:val="20"/>
        </w:rPr>
        <w:t>or it may be a lower scoring bid based on firm, verifiable and justifiable grounds or no award at all</w:t>
      </w:r>
      <w:r>
        <w:rPr>
          <w:rFonts w:ascii="Arial" w:eastAsia="Arial" w:hAnsi="Arial" w:cs="Arial"/>
          <w:sz w:val="20"/>
          <w:szCs w:val="20"/>
        </w:rPr>
        <w:t>.</w:t>
      </w:r>
    </w:p>
    <w:p>
      <w:pPr>
        <w:sectPr>
          <w:type w:val="nextPage"/>
          <w:pgSz w:w="11906" w:h="16838"/>
          <w:pgMar w:top="822" w:right="1525" w:bottom="1440" w:left="777" w:header="708" w:footer="708"/>
          <w:cols w:space="708"/>
        </w:sectPr>
      </w:pPr>
    </w:p>
    <w:p>
      <w:pPr>
        <w:spacing w:before="0" w:after="0" w:line="276" w:lineRule="auto"/>
        <w:ind w:left="7659"/>
        <w:rPr>
          <w:sz w:val="20"/>
          <w:szCs w:val="20"/>
        </w:rPr>
      </w:pPr>
      <w:r>
        <w:rPr>
          <w:rFonts w:ascii="Arial" w:eastAsia="Arial" w:hAnsi="Arial" w:cs="Arial"/>
          <w:b/>
          <w:bCs/>
          <w:sz w:val="20"/>
          <w:szCs w:val="20"/>
        </w:rPr>
        <w:t>Annexure A</w:t>
      </w:r>
    </w:p>
    <w:p>
      <w:pPr>
        <w:spacing w:before="0" w:after="0" w:line="276" w:lineRule="auto"/>
        <w:ind w:left="7659"/>
        <w:rPr>
          <w:sz w:val="20"/>
          <w:szCs w:val="20"/>
        </w:rPr>
      </w:pPr>
    </w:p>
    <w:p>
      <w:pPr>
        <w:spacing w:before="0" w:after="0" w:line="276" w:lineRule="auto"/>
        <w:rPr>
          <w:sz w:val="20"/>
          <w:szCs w:val="20"/>
        </w:rPr>
      </w:pPr>
    </w:p>
    <w:p>
      <w:pPr>
        <w:spacing w:before="0" w:after="0" w:line="276" w:lineRule="auto"/>
        <w:jc w:val="center"/>
        <w:rPr>
          <w:sz w:val="20"/>
          <w:szCs w:val="20"/>
        </w:rPr>
      </w:pPr>
      <w:r>
        <w:rPr>
          <w:rFonts w:ascii="Arial" w:eastAsia="Arial" w:hAnsi="Arial" w:cs="Arial"/>
          <w:b/>
          <w:bCs/>
          <w:sz w:val="20"/>
          <w:szCs w:val="20"/>
          <w:u w:val="single"/>
        </w:rPr>
        <w:t xml:space="preserve">PRICING SCHEDULE FOR </w:t>
      </w:r>
      <w:r>
        <w:rPr>
          <w:rFonts w:ascii="Arial" w:eastAsia="Arial" w:hAnsi="Arial" w:cs="Arial"/>
          <w:b/>
          <w:bCs/>
          <w:sz w:val="20"/>
          <w:szCs w:val="20"/>
          <w:u w:val="single"/>
        </w:rPr>
        <w:t>SHORT-TERM INSURANCE NQF LEVEL 4</w:t>
      </w:r>
    </w:p>
    <w:p>
      <w:pPr>
        <w:spacing w:before="0" w:after="0" w:line="276" w:lineRule="auto"/>
        <w:rPr>
          <w:sz w:val="20"/>
          <w:szCs w:val="20"/>
        </w:rPr>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629"/>
        <w:gridCol w:w="1513"/>
        <w:gridCol w:w="2726"/>
        <w:gridCol w:w="1536"/>
        <w:gridCol w:w="2809"/>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562" w:type="dxa"/>
            <w:tcBorders>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No.</w:t>
            </w:r>
          </w:p>
        </w:tc>
        <w:tc>
          <w:tcPr>
            <w:tcW w:w="1985" w:type="dxa"/>
            <w:tcBorders>
              <w:left w:val="single" w:sz="6" w:space="0" w:color="000000"/>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Description</w:t>
            </w:r>
          </w:p>
        </w:tc>
        <w:tc>
          <w:tcPr>
            <w:tcW w:w="1843" w:type="dxa"/>
            <w:tcBorders>
              <w:left w:val="single" w:sz="6" w:space="0" w:color="000000"/>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Rate per Learner</w:t>
            </w:r>
          </w:p>
        </w:tc>
        <w:tc>
          <w:tcPr>
            <w:tcW w:w="2409" w:type="dxa"/>
            <w:tcBorders>
              <w:left w:val="single" w:sz="6" w:space="0" w:color="000000"/>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No of Learners</w:t>
            </w:r>
          </w:p>
        </w:tc>
        <w:tc>
          <w:tcPr>
            <w:tcW w:w="2795" w:type="dxa"/>
            <w:tcBorders>
              <w:left w:val="single" w:sz="6" w:space="0" w:color="000000"/>
              <w:bottom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Total</w:t>
            </w: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w:t>
            </w: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FISA hosting (as per items listed under Deliverables)</w:t>
            </w: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w:t>
            </w: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w:t>
            </w:r>
            <w:r>
              <w:rPr>
                <w:rFonts w:ascii="Arial" w:eastAsia="Arial" w:hAnsi="Arial" w:cs="Arial"/>
                <w:b w:val="0"/>
                <w:bCs w:val="0"/>
                <w:i w:val="0"/>
                <w:iCs w:val="0"/>
                <w:smallCaps w:val="0"/>
                <w:color w:val="000000"/>
                <w:sz w:val="20"/>
                <w:szCs w:val="20"/>
              </w:rPr>
              <w:t>.</w:t>
            </w: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Administration &amp; Security (</w:t>
            </w:r>
            <w:r>
              <w:rPr>
                <w:rFonts w:ascii="Arial" w:eastAsia="Arial" w:hAnsi="Arial" w:cs="Arial"/>
                <w:b w:val="0"/>
                <w:bCs w:val="0"/>
                <w:i w:val="0"/>
                <w:iCs w:val="0"/>
                <w:smallCaps w:val="0"/>
                <w:color w:val="000000"/>
                <w:sz w:val="20"/>
                <w:szCs w:val="20"/>
              </w:rPr>
              <w:t>as per items listed under Deliverables)</w:t>
            </w: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w:t>
            </w: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bookmarkStart w:id="6" w:name="_Hlk32318241"/>
            <w:r>
              <w:rPr>
                <w:rFonts w:ascii="Arial" w:eastAsia="Arial" w:hAnsi="Arial" w:cs="Arial"/>
                <w:b w:val="0"/>
                <w:bCs w:val="0"/>
                <w:i w:val="0"/>
                <w:iCs w:val="0"/>
                <w:smallCaps w:val="0"/>
                <w:color w:val="000000"/>
                <w:sz w:val="20"/>
                <w:szCs w:val="20"/>
              </w:rPr>
              <w:t>4</w:t>
            </w:r>
            <w:r>
              <w:rPr>
                <w:rFonts w:ascii="Arial" w:eastAsia="Arial" w:hAnsi="Arial" w:cs="Arial"/>
                <w:b w:val="0"/>
                <w:bCs w:val="0"/>
                <w:i w:val="0"/>
                <w:iCs w:val="0"/>
                <w:smallCaps w:val="0"/>
                <w:color w:val="000000"/>
                <w:sz w:val="20"/>
                <w:szCs w:val="20"/>
              </w:rPr>
              <w:t>.</w:t>
            </w: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Total </w:t>
            </w: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(Excl VAT)</w:t>
            </w:r>
          </w:p>
          <w:p>
            <w:pPr>
              <w:spacing w:before="0" w:after="0" w:line="276" w:lineRule="auto"/>
              <w:rPr>
                <w:b w:val="0"/>
                <w:bCs w:val="0"/>
                <w:i w:val="0"/>
                <w:iCs w:val="0"/>
                <w:smallCaps w:val="0"/>
                <w:color w:val="000000"/>
                <w:sz w:val="20"/>
                <w:szCs w:val="20"/>
              </w:rPr>
            </w:pP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5</w:t>
            </w:r>
            <w:r>
              <w:rPr>
                <w:rFonts w:ascii="Arial" w:eastAsia="Arial" w:hAnsi="Arial" w:cs="Arial"/>
                <w:b w:val="0"/>
                <w:bCs w:val="0"/>
                <w:i w:val="0"/>
                <w:iCs w:val="0"/>
                <w:smallCaps w:val="0"/>
                <w:color w:val="000000"/>
                <w:sz w:val="20"/>
                <w:szCs w:val="20"/>
              </w:rPr>
              <w:t>.</w:t>
            </w:r>
          </w:p>
          <w:p>
            <w:pPr>
              <w:spacing w:before="0" w:after="0" w:line="276" w:lineRule="auto"/>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15% VAT</w:t>
            </w: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6</w:t>
            </w:r>
            <w:r>
              <w:rPr>
                <w:rFonts w:ascii="Arial" w:eastAsia="Arial" w:hAnsi="Arial" w:cs="Arial"/>
                <w:b/>
                <w:bCs/>
                <w:i w:val="0"/>
                <w:iCs w:val="0"/>
                <w:smallCaps w:val="0"/>
                <w:color w:val="000000"/>
                <w:sz w:val="20"/>
                <w:szCs w:val="20"/>
              </w:rPr>
              <w:t>.</w:t>
            </w:r>
          </w:p>
        </w:tc>
        <w:tc>
          <w:tcPr>
            <w:tcW w:w="1985"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Grand Total</w:t>
            </w:r>
          </w:p>
          <w:p>
            <w:pPr>
              <w:spacing w:before="0" w:after="0" w:line="276" w:lineRule="auto"/>
              <w:rPr>
                <w:b w:val="0"/>
                <w:bCs w:val="0"/>
                <w:i w:val="0"/>
                <w:iCs w:val="0"/>
                <w:smallCaps w:val="0"/>
                <w:color w:val="000000"/>
                <w:sz w:val="20"/>
                <w:szCs w:val="20"/>
              </w:rPr>
            </w:pPr>
          </w:p>
        </w:tc>
        <w:tc>
          <w:tcPr>
            <w:tcW w:w="1843"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c>
          <w:tcPr>
            <w:tcW w:w="2409"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bl>
    <w:p>
      <w:pPr>
        <w:spacing w:before="0" w:after="0" w:line="276" w:lineRule="auto"/>
        <w:rPr>
          <w:sz w:val="20"/>
          <w:szCs w:val="20"/>
        </w:rPr>
      </w:pPr>
      <w:bookmarkEnd w:id="6"/>
      <w:r>
        <w:rPr>
          <w:rFonts w:ascii="Arial" w:eastAsia="Arial" w:hAnsi="Arial" w:cs="Arial"/>
          <w:b/>
          <w:bCs/>
          <w:sz w:val="20"/>
          <w:szCs w:val="20"/>
        </w:rPr>
        <w:t xml:space="preserve">NB: </w:t>
      </w:r>
      <w:r>
        <w:rPr>
          <w:rFonts w:ascii="Arial" w:eastAsia="Arial" w:hAnsi="Arial" w:cs="Arial"/>
          <w:sz w:val="20"/>
          <w:szCs w:val="20"/>
        </w:rPr>
        <w:t>Evaluation of Price will be calculated at the rate per learner</w:t>
      </w: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ind w:left="3404" w:firstLine="851"/>
        <w:rPr>
          <w:sz w:val="20"/>
          <w:szCs w:val="20"/>
        </w:rPr>
      </w:pPr>
      <w:r>
        <w:rPr>
          <w:rFonts w:ascii="Arial" w:eastAsia="Arial" w:hAnsi="Arial" w:cs="Arial"/>
          <w:b/>
          <w:bCs/>
          <w:sz w:val="20"/>
          <w:szCs w:val="20"/>
        </w:rPr>
        <w:t>SBD 4</w:t>
      </w:r>
    </w:p>
    <w:p>
      <w:pPr>
        <w:spacing w:before="0" w:after="0"/>
        <w:jc w:val="center"/>
        <w:rPr>
          <w:sz w:val="20"/>
          <w:szCs w:val="20"/>
        </w:rPr>
      </w:pPr>
    </w:p>
    <w:p>
      <w:pPr>
        <w:spacing w:before="0" w:after="0"/>
        <w:jc w:val="center"/>
        <w:rPr>
          <w:sz w:val="20"/>
          <w:szCs w:val="20"/>
        </w:rPr>
      </w:pPr>
      <w:r>
        <w:rPr>
          <w:rFonts w:ascii="Arial" w:eastAsia="Arial" w:hAnsi="Arial" w:cs="Arial"/>
          <w:b/>
          <w:bCs/>
          <w:sz w:val="20"/>
          <w:szCs w:val="20"/>
        </w:rPr>
        <w:t>DECLARATION OF INTEREST</w:t>
      </w:r>
    </w:p>
    <w:p>
      <w:pPr>
        <w:spacing w:before="0" w:after="0"/>
        <w:jc w:val="center"/>
        <w:rPr>
          <w:sz w:val="20"/>
          <w:szCs w:val="20"/>
        </w:rPr>
      </w:pPr>
    </w:p>
    <w:p>
      <w:pPr>
        <w:numPr>
          <w:ilvl w:val="0"/>
          <w:numId w:val="32"/>
        </w:numPr>
        <w:pBdr>
          <w:left w:val="none" w:sz="0" w:space="4" w:color="auto"/>
        </w:pBdr>
        <w:spacing w:before="0" w:after="0" w:line="276" w:lineRule="auto"/>
        <w:ind w:left="630" w:right="0" w:hanging="343"/>
        <w:jc w:val="left"/>
        <w:rPr>
          <w:rFonts w:ascii="Arial" w:eastAsia="Arial" w:hAnsi="Arial" w:cs="Arial"/>
          <w:sz w:val="20"/>
          <w:szCs w:val="20"/>
        </w:rPr>
      </w:pPr>
      <w:r>
        <w:rPr>
          <w:rFonts w:ascii="Arial" w:eastAsia="Arial" w:hAnsi="Arial" w:cs="Arial"/>
          <w:sz w:val="20"/>
          <w:szCs w:val="20"/>
        </w:rPr>
        <w:t>Any legal person, including persons employed by the state, or persons having a kinship with persons employed by the state, including a blood relationship, may make an offer or offers in terms of this invitation to bid(includes an advertised competitive bid, a limited bid, a proposal or written price quotation).In view of possible allegations of favouritism, should the resulting bid, or part thereof, be awarded to persons employed by the state, or to persons connected with or related to them, it is required that the bidder or his/her authorized representatives declare his/her position in relation to the evaluating/adjudicating authority where-</w:t>
      </w:r>
    </w:p>
    <w:p>
      <w:pPr>
        <w:spacing w:before="0" w:after="0" w:line="276" w:lineRule="auto"/>
        <w:ind w:left="360"/>
        <w:rPr>
          <w:sz w:val="20"/>
          <w:szCs w:val="20"/>
        </w:rPr>
      </w:pPr>
      <w:r>
        <w:rPr>
          <w:rFonts w:ascii="Arial" w:eastAsia="Arial" w:hAnsi="Arial" w:cs="Arial"/>
          <w:sz w:val="20"/>
          <w:szCs w:val="20"/>
        </w:rPr>
        <w:t xml:space="preserve">      </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the bidder is employed by the state; and/or</w:t>
      </w:r>
    </w:p>
    <w:p>
      <w:pPr>
        <w:spacing w:before="0" w:after="0" w:line="276" w:lineRule="auto"/>
        <w:ind w:left="720"/>
        <w:rPr>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the legal person on whose behalf the bidding document is signed, has a relationship</w:t>
      </w:r>
      <w:r>
        <w:rPr>
          <w:rFonts w:ascii="Arial" w:eastAsia="Arial" w:hAnsi="Arial" w:cs="Arial"/>
          <w:sz w:val="20"/>
          <w:szCs w:val="20"/>
        </w:rPr>
        <w:t xml:space="preserve">   </w:t>
      </w:r>
      <w:r>
        <w:rPr>
          <w:rFonts w:ascii="Arial" w:eastAsia="Arial" w:hAnsi="Arial" w:cs="Arial"/>
          <w:sz w:val="20"/>
          <w:szCs w:val="20"/>
        </w:rPr>
        <w:t>with</w:t>
      </w:r>
    </w:p>
    <w:p>
      <w:pPr>
        <w:spacing w:before="0" w:after="0" w:line="276" w:lineRule="auto"/>
        <w:ind w:left="720"/>
        <w:rPr>
          <w:sz w:val="20"/>
          <w:szCs w:val="20"/>
        </w:rPr>
      </w:pPr>
      <w:r>
        <w:rPr>
          <w:rFonts w:ascii="Arial" w:eastAsia="Arial" w:hAnsi="Arial" w:cs="Arial"/>
          <w:sz w:val="20"/>
          <w:szCs w:val="20"/>
        </w:rPr>
        <w:t xml:space="preserve">persons/ a person who are/is involved in the evaluation and or adjudication of the bid(s), or </w:t>
      </w:r>
    </w:p>
    <w:p>
      <w:pPr>
        <w:spacing w:before="0" w:after="0" w:line="276" w:lineRule="auto"/>
        <w:ind w:left="1134"/>
        <w:rPr>
          <w:sz w:val="20"/>
          <w:szCs w:val="20"/>
        </w:rPr>
      </w:pPr>
      <w:r>
        <w:rPr>
          <w:rFonts w:ascii="Arial" w:eastAsia="Arial" w:hAnsi="Arial" w:cs="Arial"/>
          <w:sz w:val="20"/>
          <w:szCs w:val="20"/>
        </w:rPr>
        <w:t>where it is known that such a relationship exists between the person or persons for or on whose behalf the declarant acts and persons who are involved with the evaluation and or adjudication of the bid.</w:t>
      </w:r>
    </w:p>
    <w:p>
      <w:pPr>
        <w:spacing w:before="0" w:after="0" w:line="276" w:lineRule="auto"/>
        <w:ind w:left="720"/>
        <w:rPr>
          <w:sz w:val="20"/>
          <w:szCs w:val="20"/>
        </w:rPr>
      </w:pPr>
    </w:p>
    <w:p>
      <w:pPr>
        <w:spacing w:before="0" w:after="0" w:line="276" w:lineRule="auto"/>
        <w:ind w:left="284"/>
        <w:rPr>
          <w:sz w:val="20"/>
          <w:szCs w:val="20"/>
        </w:rPr>
      </w:pPr>
      <w:r>
        <w:rPr>
          <w:rFonts w:ascii="Arial" w:eastAsia="Arial" w:hAnsi="Arial" w:cs="Arial"/>
          <w:sz w:val="20"/>
          <w:szCs w:val="20"/>
        </w:rPr>
        <w:t>2.</w:t>
      </w:r>
      <w:r>
        <w:rPr>
          <w:rFonts w:ascii="Arial" w:eastAsia="Arial" w:hAnsi="Arial" w:cs="Arial"/>
          <w:sz w:val="20"/>
          <w:szCs w:val="20"/>
        </w:rPr>
        <w:t xml:space="preserve">          </w:t>
      </w:r>
      <w:r>
        <w:rPr>
          <w:rFonts w:ascii="Arial" w:eastAsia="Arial" w:hAnsi="Arial" w:cs="Arial"/>
          <w:b/>
          <w:bCs/>
          <w:sz w:val="20"/>
          <w:szCs w:val="20"/>
        </w:rPr>
        <w:t>In order to give effect to the above, the following questionnaire must be completed and</w:t>
      </w:r>
    </w:p>
    <w:p>
      <w:pPr>
        <w:spacing w:before="0" w:after="0" w:line="276" w:lineRule="auto"/>
        <w:ind w:left="284"/>
        <w:rPr>
          <w:sz w:val="20"/>
          <w:szCs w:val="20"/>
        </w:rPr>
      </w:pPr>
      <w:r>
        <w:rPr>
          <w:rFonts w:ascii="Arial" w:eastAsia="Arial" w:hAnsi="Arial" w:cs="Arial"/>
          <w:b/>
          <w:bCs/>
          <w:sz w:val="20"/>
          <w:szCs w:val="20"/>
        </w:rPr>
        <w:t xml:space="preserve"> </w:t>
      </w:r>
      <w:r>
        <w:rPr>
          <w:rFonts w:ascii="Arial" w:eastAsia="Arial" w:hAnsi="Arial" w:cs="Arial"/>
          <w:b/>
          <w:bCs/>
          <w:sz w:val="20"/>
          <w:szCs w:val="20"/>
        </w:rPr>
        <w:tab/>
      </w:r>
      <w:r>
        <w:rPr>
          <w:rFonts w:ascii="Arial" w:eastAsia="Arial" w:hAnsi="Arial" w:cs="Arial"/>
          <w:b/>
          <w:bCs/>
          <w:sz w:val="20"/>
          <w:szCs w:val="20"/>
        </w:rPr>
        <w:t xml:space="preserve">   </w:t>
      </w:r>
      <w:r>
        <w:rPr>
          <w:rFonts w:ascii="Arial" w:eastAsia="Arial" w:hAnsi="Arial" w:cs="Arial"/>
          <w:b/>
          <w:bCs/>
          <w:sz w:val="20"/>
          <w:szCs w:val="20"/>
        </w:rPr>
        <w:t>submitted with the bid.</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2.1</w:t>
      </w:r>
      <w:r>
        <w:rPr>
          <w:rFonts w:ascii="Arial" w:eastAsia="Arial" w:hAnsi="Arial" w:cs="Arial"/>
          <w:sz w:val="20"/>
          <w:szCs w:val="20"/>
        </w:rPr>
        <w:t xml:space="preserve">         </w:t>
      </w:r>
      <w:r>
        <w:rPr>
          <w:rFonts w:ascii="Arial" w:eastAsia="Arial" w:hAnsi="Arial" w:cs="Arial"/>
          <w:sz w:val="20"/>
          <w:szCs w:val="20"/>
        </w:rPr>
        <w:t>Full Name of bidder or his or her representatives: ………………………………………..</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2.2</w:t>
      </w:r>
      <w:r>
        <w:rPr>
          <w:rFonts w:ascii="Arial" w:eastAsia="Arial" w:hAnsi="Arial" w:cs="Arial"/>
          <w:sz w:val="20"/>
          <w:szCs w:val="20"/>
        </w:rPr>
        <w:t xml:space="preserve">         </w:t>
      </w:r>
      <w:r>
        <w:rPr>
          <w:rFonts w:ascii="Arial" w:eastAsia="Arial" w:hAnsi="Arial" w:cs="Arial"/>
          <w:sz w:val="20"/>
          <w:szCs w:val="20"/>
        </w:rPr>
        <w:t>Identity Number: ………………………………………………………………………………</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2.3</w:t>
      </w:r>
      <w:r>
        <w:rPr>
          <w:rFonts w:ascii="Arial" w:eastAsia="Arial" w:hAnsi="Arial" w:cs="Arial"/>
          <w:sz w:val="20"/>
          <w:szCs w:val="20"/>
        </w:rPr>
        <w:t xml:space="preserve">         </w:t>
      </w:r>
      <w:r>
        <w:rPr>
          <w:rFonts w:ascii="Arial" w:eastAsia="Arial" w:hAnsi="Arial" w:cs="Arial"/>
          <w:sz w:val="20"/>
          <w:szCs w:val="20"/>
        </w:rPr>
        <w:t>Position occupied in the Company (director, trustee, shareholder, member):</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r>
        <w:rPr>
          <w:rFonts w:ascii="Arial" w:eastAsia="Arial" w:hAnsi="Arial" w:cs="Arial"/>
          <w:sz w:val="20"/>
          <w:szCs w:val="20"/>
        </w:rPr>
        <w:t>2.4</w:t>
      </w:r>
      <w:r>
        <w:rPr>
          <w:rFonts w:ascii="Arial" w:eastAsia="Arial" w:hAnsi="Arial" w:cs="Arial"/>
          <w:sz w:val="20"/>
          <w:szCs w:val="20"/>
        </w:rPr>
        <w:t xml:space="preserve">         </w:t>
      </w:r>
      <w:r>
        <w:rPr>
          <w:rFonts w:ascii="Arial" w:eastAsia="Arial" w:hAnsi="Arial" w:cs="Arial"/>
          <w:sz w:val="20"/>
          <w:szCs w:val="20"/>
        </w:rPr>
        <w:t>Registration number of company, enterprise, close corporation, partnership agreement or trust:</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2.5</w:t>
      </w:r>
      <w:r>
        <w:rPr>
          <w:rFonts w:ascii="Arial" w:eastAsia="Arial" w:hAnsi="Arial" w:cs="Arial"/>
          <w:sz w:val="20"/>
          <w:szCs w:val="20"/>
        </w:rPr>
        <w:t xml:space="preserve">         </w:t>
      </w:r>
      <w:r>
        <w:rPr>
          <w:rFonts w:ascii="Arial" w:eastAsia="Arial" w:hAnsi="Arial" w:cs="Arial"/>
          <w:sz w:val="20"/>
          <w:szCs w:val="20"/>
        </w:rPr>
        <w:t>Tax Reference Number: …………………………………………………………</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2.6</w:t>
      </w:r>
      <w:r>
        <w:rPr>
          <w:rFonts w:ascii="Arial" w:eastAsia="Arial" w:hAnsi="Arial" w:cs="Arial"/>
          <w:sz w:val="20"/>
          <w:szCs w:val="20"/>
        </w:rPr>
        <w:t xml:space="preserve">         </w:t>
      </w:r>
      <w:r>
        <w:rPr>
          <w:rFonts w:ascii="Arial" w:eastAsia="Arial" w:hAnsi="Arial" w:cs="Arial"/>
          <w:sz w:val="20"/>
          <w:szCs w:val="20"/>
        </w:rPr>
        <w:t>VAT Registration Number: ………………………………………………………………</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2.6.1</w:t>
      </w:r>
      <w:r>
        <w:rPr>
          <w:rFonts w:ascii="Arial" w:eastAsia="Arial" w:hAnsi="Arial" w:cs="Arial"/>
          <w:sz w:val="20"/>
          <w:szCs w:val="20"/>
        </w:rPr>
        <w:t xml:space="preserve">      </w:t>
      </w:r>
      <w:r>
        <w:rPr>
          <w:rFonts w:ascii="Arial" w:eastAsia="Arial" w:hAnsi="Arial" w:cs="Arial"/>
          <w:sz w:val="20"/>
          <w:szCs w:val="20"/>
        </w:rPr>
        <w:t xml:space="preserve">The names of all directors/trustees/shareholders/members, their individually identity numbers, </w:t>
      </w:r>
    </w:p>
    <w:p>
      <w:pPr>
        <w:spacing w:before="0" w:after="0" w:line="276" w:lineRule="auto"/>
        <w:ind w:left="284"/>
        <w:rPr>
          <w:sz w:val="20"/>
          <w:szCs w:val="20"/>
        </w:rPr>
      </w:pPr>
      <w:r>
        <w:rPr>
          <w:rFonts w:ascii="Arial" w:eastAsia="Arial" w:hAnsi="Arial" w:cs="Arial"/>
          <w:sz w:val="20"/>
          <w:szCs w:val="20"/>
        </w:rPr>
        <w:t>tax reference numbers and, if applicable, employee/PERSAL number must be indicated in</w:t>
      </w:r>
    </w:p>
    <w:p>
      <w:pPr>
        <w:spacing w:before="0" w:after="0" w:line="276" w:lineRule="auto"/>
        <w:ind w:left="284"/>
        <w:rPr>
          <w:sz w:val="20"/>
          <w:szCs w:val="20"/>
        </w:rPr>
      </w:pPr>
      <w:r>
        <w:rPr>
          <w:rFonts w:ascii="Arial" w:eastAsia="Arial" w:hAnsi="Arial" w:cs="Arial"/>
          <w:sz w:val="20"/>
          <w:szCs w:val="20"/>
        </w:rPr>
        <w:t>paragraph 3 below.</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1“state means-</w:t>
      </w:r>
    </w:p>
    <w:p>
      <w:pPr>
        <w:spacing w:before="0" w:after="0" w:line="276" w:lineRule="auto"/>
        <w:ind w:left="284"/>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national or provincial department, national or provincial public entity or constitutional within the meaning of the Public Finance Management Act,1999(Act No.1 of 1999);</w:t>
      </w:r>
    </w:p>
    <w:p>
      <w:pPr>
        <w:spacing w:before="0" w:after="0" w:line="276" w:lineRule="auto"/>
        <w:ind w:left="284"/>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municipality or municipal entity;</w:t>
      </w:r>
    </w:p>
    <w:p>
      <w:pPr>
        <w:spacing w:before="0" w:after="0" w:line="276" w:lineRule="auto"/>
        <w:ind w:left="284"/>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provincial legislature;</w:t>
      </w:r>
    </w:p>
    <w:p>
      <w:pPr>
        <w:spacing w:before="0" w:after="0" w:line="276" w:lineRule="auto"/>
        <w:ind w:left="284"/>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national Assembly or the national Council of provinces; or</w:t>
      </w:r>
    </w:p>
    <w:p>
      <w:pPr>
        <w:spacing w:before="0" w:after="0" w:line="276" w:lineRule="auto"/>
        <w:ind w:left="284"/>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Parliament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2“shareholder ‘’means a person who owns shares in the company and is actively involved in the management of the enterprise or business and exercises control over the enterprise.</w:t>
      </w:r>
    </w:p>
    <w:p>
      <w:pPr>
        <w:spacing w:before="0" w:after="0" w:line="276" w:lineRule="auto"/>
        <w:ind w:left="284"/>
        <w:rPr>
          <w:sz w:val="20"/>
          <w:szCs w:val="20"/>
        </w:rPr>
      </w:pP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2.7</w:t>
      </w:r>
      <w:r>
        <w:rPr>
          <w:rFonts w:ascii="Arial" w:eastAsia="Arial" w:hAnsi="Arial" w:cs="Arial"/>
          <w:sz w:val="20"/>
          <w:szCs w:val="20"/>
        </w:rPr>
        <w:t xml:space="preserve">       </w:t>
      </w:r>
      <w:r>
        <w:rPr>
          <w:rFonts w:ascii="Arial" w:eastAsia="Arial" w:hAnsi="Arial" w:cs="Arial"/>
          <w:sz w:val="20"/>
          <w:szCs w:val="20"/>
        </w:rPr>
        <w:t>Are you or any person connected with the bidder presently employed by the state?</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2.7.1</w:t>
      </w:r>
      <w:r>
        <w:rPr>
          <w:rFonts w:ascii="Arial" w:eastAsia="Arial" w:hAnsi="Arial" w:cs="Arial"/>
          <w:sz w:val="20"/>
          <w:szCs w:val="20"/>
        </w:rPr>
        <w:t xml:space="preserve">    </w:t>
      </w:r>
      <w:r>
        <w:rPr>
          <w:rFonts w:ascii="Arial" w:eastAsia="Arial" w:hAnsi="Arial" w:cs="Arial"/>
          <w:sz w:val="20"/>
          <w:szCs w:val="20"/>
        </w:rPr>
        <w:t>If so, furnish the following particulars:</w:t>
      </w:r>
      <w:r>
        <w:rPr>
          <w:rFonts w:ascii="Arial" w:eastAsia="Arial" w:hAnsi="Arial" w:cs="Arial"/>
          <w:sz w:val="20"/>
          <w:szCs w:val="20"/>
        </w:rPr>
        <w:t xml:space="preserve">      </w:t>
      </w:r>
    </w:p>
    <w:p>
      <w:pPr>
        <w:spacing w:before="0" w:after="0" w:line="276" w:lineRule="auto"/>
        <w:ind w:left="1016"/>
        <w:rPr>
          <w:sz w:val="20"/>
          <w:szCs w:val="20"/>
        </w:rPr>
      </w:pPr>
      <w:r>
        <w:rPr>
          <w:rFonts w:ascii="Arial" w:eastAsia="Arial" w:hAnsi="Arial" w:cs="Arial"/>
          <w:sz w:val="20"/>
          <w:szCs w:val="20"/>
        </w:rPr>
        <w:t xml:space="preserve">Name of person /director /trustees /shareholder /member: </w:t>
      </w:r>
    </w:p>
    <w:p>
      <w:pPr>
        <w:spacing w:before="0" w:after="0" w:line="276" w:lineRule="auto"/>
        <w:ind w:left="1016"/>
        <w:rPr>
          <w:sz w:val="20"/>
          <w:szCs w:val="20"/>
        </w:rPr>
      </w:pPr>
    </w:p>
    <w:p>
      <w:pPr>
        <w:spacing w:before="0" w:after="0" w:line="276" w:lineRule="auto"/>
        <w:ind w:left="1016"/>
        <w:rPr>
          <w:sz w:val="20"/>
          <w:szCs w:val="20"/>
        </w:rPr>
      </w:pPr>
      <w:r>
        <w:rPr>
          <w:rFonts w:ascii="Arial" w:eastAsia="Arial" w:hAnsi="Arial" w:cs="Arial"/>
          <w:sz w:val="20"/>
          <w:szCs w:val="20"/>
        </w:rPr>
        <w:t>……………………………………………..</w:t>
      </w:r>
    </w:p>
    <w:p>
      <w:pPr>
        <w:spacing w:before="0" w:after="0" w:line="276" w:lineRule="auto"/>
        <w:ind w:left="1016"/>
        <w:rPr>
          <w:sz w:val="20"/>
          <w:szCs w:val="20"/>
        </w:rPr>
      </w:pPr>
    </w:p>
    <w:p>
      <w:pPr>
        <w:spacing w:before="0" w:after="0" w:line="276" w:lineRule="auto"/>
        <w:ind w:left="1016"/>
        <w:rPr>
          <w:sz w:val="20"/>
          <w:szCs w:val="20"/>
        </w:rPr>
      </w:pPr>
    </w:p>
    <w:p>
      <w:pPr>
        <w:spacing w:before="0" w:after="0" w:line="276" w:lineRule="auto"/>
        <w:ind w:left="1016"/>
        <w:rPr>
          <w:sz w:val="20"/>
          <w:szCs w:val="20"/>
        </w:rPr>
      </w:pPr>
      <w:r>
        <w:rPr>
          <w:rFonts w:ascii="Arial" w:eastAsia="Arial" w:hAnsi="Arial" w:cs="Arial"/>
          <w:sz w:val="20"/>
          <w:szCs w:val="20"/>
        </w:rPr>
        <w:t>Name of state institution at which you or the person connected to the bidder is employed:</w:t>
      </w:r>
      <w:r>
        <w:rPr>
          <w:rFonts w:ascii="Arial" w:eastAsia="Arial" w:hAnsi="Arial" w:cs="Arial"/>
          <w:sz w:val="20"/>
          <w:szCs w:val="20"/>
        </w:rPr>
        <w:t xml:space="preserve">                                </w:t>
      </w:r>
    </w:p>
    <w:p>
      <w:pPr>
        <w:spacing w:before="0" w:after="0" w:line="276" w:lineRule="auto"/>
        <w:ind w:left="1016"/>
        <w:rPr>
          <w:sz w:val="20"/>
          <w:szCs w:val="20"/>
        </w:rPr>
      </w:pPr>
    </w:p>
    <w:p>
      <w:pPr>
        <w:spacing w:before="0" w:after="0" w:line="276" w:lineRule="auto"/>
        <w:ind w:left="1016"/>
        <w:rPr>
          <w:sz w:val="20"/>
          <w:szCs w:val="20"/>
        </w:rPr>
      </w:pP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1016"/>
        <w:rPr>
          <w:sz w:val="20"/>
          <w:szCs w:val="20"/>
        </w:rPr>
      </w:pPr>
      <w:r>
        <w:rPr>
          <w:rFonts w:ascii="Arial" w:eastAsia="Arial" w:hAnsi="Arial" w:cs="Arial"/>
          <w:sz w:val="20"/>
          <w:szCs w:val="20"/>
        </w:rPr>
        <w:t>Position occupied in the state institution:</w:t>
      </w:r>
      <w:r>
        <w:rPr>
          <w:rFonts w:ascii="Arial" w:eastAsia="Arial" w:hAnsi="Arial" w:cs="Arial"/>
          <w:sz w:val="20"/>
          <w:szCs w:val="20"/>
        </w:rPr>
        <w:t xml:space="preserve">                            </w:t>
      </w:r>
    </w:p>
    <w:p>
      <w:pPr>
        <w:spacing w:before="0" w:after="0" w:line="276" w:lineRule="auto"/>
        <w:ind w:left="1016"/>
        <w:rPr>
          <w:sz w:val="20"/>
          <w:szCs w:val="20"/>
        </w:rPr>
      </w:pPr>
    </w:p>
    <w:p>
      <w:pPr>
        <w:spacing w:before="0" w:after="0" w:line="276" w:lineRule="auto"/>
        <w:ind w:left="1016"/>
        <w:rPr>
          <w:sz w:val="20"/>
          <w:szCs w:val="20"/>
        </w:rPr>
      </w:pP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449" w:firstLine="567"/>
        <w:rPr>
          <w:sz w:val="20"/>
          <w:szCs w:val="20"/>
        </w:rPr>
      </w:pPr>
      <w:r>
        <w:rPr>
          <w:rFonts w:ascii="Arial" w:eastAsia="Arial" w:hAnsi="Arial" w:cs="Arial"/>
          <w:sz w:val="20"/>
          <w:szCs w:val="20"/>
        </w:rPr>
        <w:t>Any other particulars:</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r>
        <w:rPr>
          <w:rFonts w:ascii="Arial" w:eastAsia="Arial" w:hAnsi="Arial" w:cs="Arial"/>
          <w:sz w:val="20"/>
          <w:szCs w:val="20"/>
        </w:rPr>
        <w:t>2.7.2</w:t>
      </w:r>
      <w:r>
        <w:rPr>
          <w:rFonts w:ascii="Arial" w:eastAsia="Arial" w:hAnsi="Arial" w:cs="Arial"/>
          <w:sz w:val="20"/>
          <w:szCs w:val="20"/>
        </w:rPr>
        <w:t xml:space="preserve">     </w:t>
      </w:r>
      <w:r>
        <w:rPr>
          <w:rFonts w:ascii="Arial" w:eastAsia="Arial" w:hAnsi="Arial" w:cs="Arial"/>
          <w:sz w:val="20"/>
          <w:szCs w:val="20"/>
        </w:rPr>
        <w:t>If you are presently employed by the state, did you obtain</w:t>
      </w:r>
      <w:r>
        <w:rPr>
          <w:rFonts w:ascii="Arial" w:eastAsia="Arial" w:hAnsi="Arial" w:cs="Arial"/>
          <w:sz w:val="20"/>
          <w:szCs w:val="20"/>
        </w:rPr>
        <w:t xml:space="preserve">                                          </w:t>
      </w:r>
      <w:r>
        <w:rPr>
          <w:rFonts w:ascii="Arial" w:eastAsia="Arial" w:hAnsi="Arial" w:cs="Arial"/>
          <w:b/>
          <w:bCs/>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 xml:space="preserve">the appropriate authority to undertake remunerative </w:t>
      </w:r>
    </w:p>
    <w:p>
      <w:pPr>
        <w:spacing w:before="0" w:after="0" w:line="276" w:lineRule="auto"/>
        <w:ind w:left="284"/>
        <w:rPr>
          <w:sz w:val="20"/>
          <w:szCs w:val="20"/>
        </w:rPr>
      </w:pPr>
      <w:r>
        <w:rPr>
          <w:rFonts w:ascii="Arial" w:eastAsia="Arial" w:hAnsi="Arial" w:cs="Arial"/>
          <w:sz w:val="20"/>
          <w:szCs w:val="20"/>
        </w:rPr>
        <w:t>work outside employment in the public sector?</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2.7.2.1 If yes, did you attach proof of such authority to the bid</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document?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b/>
          <w:bCs/>
          <w:sz w:val="20"/>
          <w:szCs w:val="20"/>
          <w:u w:val="single"/>
        </w:rPr>
        <w:t xml:space="preserve">(Note: Failure to submit proof of such authority, where applicable, </w:t>
      </w:r>
    </w:p>
    <w:p>
      <w:pPr>
        <w:spacing w:before="0" w:after="0" w:line="276" w:lineRule="auto"/>
        <w:ind w:left="284"/>
        <w:rPr>
          <w:sz w:val="20"/>
          <w:szCs w:val="20"/>
        </w:rPr>
      </w:pPr>
      <w:r>
        <w:rPr>
          <w:rFonts w:ascii="Arial" w:eastAsia="Arial" w:hAnsi="Arial" w:cs="Arial"/>
          <w:b/>
          <w:bCs/>
          <w:sz w:val="20"/>
          <w:szCs w:val="20"/>
          <w:u w:val="single"/>
        </w:rPr>
        <w:t>may result in the disqualification of the bid.)</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2.7.2.2 If no, furnish reasons for non-submission of such proof:</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r>
        <w:rPr>
          <w:rFonts w:ascii="Arial" w:eastAsia="Arial" w:hAnsi="Arial" w:cs="Arial"/>
          <w:sz w:val="20"/>
          <w:szCs w:val="20"/>
        </w:rPr>
        <w:t>2.8</w:t>
      </w:r>
      <w:r>
        <w:rPr>
          <w:rFonts w:ascii="Arial" w:eastAsia="Arial" w:hAnsi="Arial" w:cs="Arial"/>
          <w:sz w:val="20"/>
          <w:szCs w:val="20"/>
        </w:rPr>
        <w:t xml:space="preserve">    </w:t>
      </w:r>
      <w:r>
        <w:rPr>
          <w:rFonts w:ascii="Arial" w:eastAsia="Arial" w:hAnsi="Arial" w:cs="Arial"/>
          <w:sz w:val="20"/>
          <w:szCs w:val="20"/>
        </w:rPr>
        <w:t>Did you or your spouse, or any of the company’s directors/</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 xml:space="preserve">trustees/ shareholders / members or their spouse conduct </w:t>
      </w:r>
    </w:p>
    <w:p>
      <w:pPr>
        <w:spacing w:before="0" w:after="0" w:line="276" w:lineRule="auto"/>
        <w:ind w:left="284"/>
        <w:rPr>
          <w:sz w:val="20"/>
          <w:szCs w:val="20"/>
        </w:rPr>
      </w:pPr>
      <w:r>
        <w:rPr>
          <w:rFonts w:ascii="Arial" w:eastAsia="Arial" w:hAnsi="Arial" w:cs="Arial"/>
          <w:sz w:val="20"/>
          <w:szCs w:val="20"/>
        </w:rPr>
        <w:t>business with the state in the previous twelve months?</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2.8.1 If so, furnish particulars:</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2.9</w:t>
      </w:r>
      <w:r>
        <w:rPr>
          <w:rFonts w:ascii="Arial" w:eastAsia="Arial" w:hAnsi="Arial" w:cs="Arial"/>
          <w:sz w:val="20"/>
          <w:szCs w:val="20"/>
        </w:rPr>
        <w:t xml:space="preserve">   </w:t>
      </w:r>
      <w:r>
        <w:rPr>
          <w:rFonts w:ascii="Arial" w:eastAsia="Arial" w:hAnsi="Arial" w:cs="Arial"/>
          <w:sz w:val="20"/>
          <w:szCs w:val="20"/>
        </w:rPr>
        <w:t>Do you, or any person connected with the bidder, have</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any relationship (family, friend, other) with a person</w:t>
      </w:r>
    </w:p>
    <w:p>
      <w:pPr>
        <w:spacing w:before="0" w:after="0" w:line="276" w:lineRule="auto"/>
        <w:ind w:left="284"/>
        <w:rPr>
          <w:sz w:val="20"/>
          <w:szCs w:val="20"/>
        </w:rPr>
      </w:pPr>
      <w:r>
        <w:rPr>
          <w:rFonts w:ascii="Arial" w:eastAsia="Arial" w:hAnsi="Arial" w:cs="Arial"/>
          <w:sz w:val="20"/>
          <w:szCs w:val="20"/>
        </w:rPr>
        <w:t>employed by the state and who may be involved with</w:t>
      </w:r>
    </w:p>
    <w:p>
      <w:pPr>
        <w:spacing w:before="0" w:after="0" w:line="276" w:lineRule="auto"/>
        <w:ind w:left="284"/>
        <w:rPr>
          <w:sz w:val="20"/>
          <w:szCs w:val="20"/>
        </w:rPr>
      </w:pPr>
      <w:r>
        <w:rPr>
          <w:rFonts w:ascii="Arial" w:eastAsia="Arial" w:hAnsi="Arial" w:cs="Arial"/>
          <w:sz w:val="20"/>
          <w:szCs w:val="20"/>
        </w:rPr>
        <w:t>the evaluation and or adjudication of this bid?</w:t>
      </w:r>
    </w:p>
    <w:p>
      <w:pPr>
        <w:spacing w:before="0" w:after="0" w:line="276" w:lineRule="auto"/>
        <w:ind w:left="284"/>
        <w:rPr>
          <w:sz w:val="20"/>
          <w:szCs w:val="20"/>
        </w:rPr>
      </w:pPr>
      <w:r>
        <w:rPr>
          <w:rFonts w:ascii="Arial" w:eastAsia="Arial" w:hAnsi="Arial" w:cs="Arial"/>
          <w:sz w:val="20"/>
          <w:szCs w:val="20"/>
        </w:rPr>
        <w:t>2.9.1 If so, furnish particulars:</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 ..………………………………………………………………………</w:t>
      </w:r>
    </w:p>
    <w:p>
      <w:pPr>
        <w:spacing w:before="0" w:after="0" w:line="276" w:lineRule="auto"/>
        <w:ind w:left="284"/>
        <w:rPr>
          <w:sz w:val="20"/>
          <w:szCs w:val="20"/>
        </w:rPr>
      </w:pP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2.10</w:t>
      </w:r>
      <w:r>
        <w:rPr>
          <w:rFonts w:ascii="Arial" w:eastAsia="Arial" w:hAnsi="Arial" w:cs="Arial"/>
          <w:sz w:val="20"/>
          <w:szCs w:val="20"/>
        </w:rPr>
        <w:t xml:space="preserve">   </w:t>
      </w:r>
      <w:r>
        <w:rPr>
          <w:rFonts w:ascii="Arial" w:eastAsia="Arial" w:hAnsi="Arial" w:cs="Arial"/>
          <w:sz w:val="20"/>
          <w:szCs w:val="20"/>
        </w:rPr>
        <w:t>Are you, or any person connected with the bidder,</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aware of any relationship (family, friend, other) between</w:t>
      </w:r>
    </w:p>
    <w:p>
      <w:pPr>
        <w:spacing w:before="0" w:after="0" w:line="276" w:lineRule="auto"/>
        <w:ind w:left="284"/>
        <w:rPr>
          <w:sz w:val="20"/>
          <w:szCs w:val="20"/>
        </w:rPr>
      </w:pPr>
      <w:r>
        <w:rPr>
          <w:rFonts w:ascii="Arial" w:eastAsia="Arial" w:hAnsi="Arial" w:cs="Arial"/>
          <w:sz w:val="20"/>
          <w:szCs w:val="20"/>
        </w:rPr>
        <w:t>any other bidder and any person employed by the state</w:t>
      </w:r>
    </w:p>
    <w:p>
      <w:pPr>
        <w:spacing w:before="0" w:after="0" w:line="276" w:lineRule="auto"/>
        <w:ind w:left="284"/>
        <w:rPr>
          <w:sz w:val="20"/>
          <w:szCs w:val="20"/>
        </w:rPr>
      </w:pPr>
      <w:r>
        <w:rPr>
          <w:rFonts w:ascii="Arial" w:eastAsia="Arial" w:hAnsi="Arial" w:cs="Arial"/>
          <w:sz w:val="20"/>
          <w:szCs w:val="20"/>
        </w:rPr>
        <w:t>who may be involved with the evaluation and or adjudication of this bid?</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2.10.1</w:t>
      </w:r>
      <w:r>
        <w:rPr>
          <w:rFonts w:ascii="Arial" w:eastAsia="Arial" w:hAnsi="Arial" w:cs="Arial"/>
          <w:sz w:val="20"/>
          <w:szCs w:val="20"/>
        </w:rPr>
        <w:tab/>
      </w:r>
      <w:r>
        <w:rPr>
          <w:rFonts w:ascii="Arial" w:eastAsia="Arial" w:hAnsi="Arial" w:cs="Arial"/>
          <w:sz w:val="20"/>
          <w:szCs w:val="20"/>
        </w:rPr>
        <w:t>If so, furnish particulars:</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 xml:space="preserve"> …………………………………………………………………………..</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2.11</w:t>
      </w:r>
      <w:r>
        <w:rPr>
          <w:rFonts w:ascii="Arial" w:eastAsia="Arial" w:hAnsi="Arial" w:cs="Arial"/>
          <w:sz w:val="20"/>
          <w:szCs w:val="20"/>
        </w:rPr>
        <w:t xml:space="preserve">   </w:t>
      </w:r>
      <w:r>
        <w:rPr>
          <w:rFonts w:ascii="Arial" w:eastAsia="Arial" w:hAnsi="Arial" w:cs="Arial"/>
          <w:sz w:val="20"/>
          <w:szCs w:val="20"/>
        </w:rPr>
        <w:t>Do you or any of the directors / trustees / shareholders / members</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of the company have any interest in any other related companies</w:t>
      </w:r>
    </w:p>
    <w:p>
      <w:pPr>
        <w:spacing w:before="0" w:after="0" w:line="276" w:lineRule="auto"/>
        <w:ind w:left="284"/>
        <w:rPr>
          <w:sz w:val="20"/>
          <w:szCs w:val="20"/>
        </w:rPr>
      </w:pPr>
      <w:r>
        <w:rPr>
          <w:rFonts w:ascii="Arial" w:eastAsia="Arial" w:hAnsi="Arial" w:cs="Arial"/>
          <w:sz w:val="20"/>
          <w:szCs w:val="20"/>
        </w:rPr>
        <w:t>whether or not they are bidding for this contract?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2.11.1 </w:t>
      </w:r>
      <w:r>
        <w:rPr>
          <w:rFonts w:ascii="Arial" w:eastAsia="Arial" w:hAnsi="Arial" w:cs="Arial"/>
          <w:sz w:val="20"/>
          <w:szCs w:val="20"/>
        </w:rPr>
        <w:tab/>
      </w:r>
      <w:r>
        <w:rPr>
          <w:rFonts w:ascii="Arial" w:eastAsia="Arial" w:hAnsi="Arial" w:cs="Arial"/>
          <w:sz w:val="20"/>
          <w:szCs w:val="20"/>
        </w:rPr>
        <w:t>If so, furnish particulars:</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ind w:left="284"/>
        <w:rPr>
          <w:sz w:val="20"/>
          <w:szCs w:val="20"/>
        </w:rPr>
      </w:pPr>
    </w:p>
    <w:p>
      <w:pPr>
        <w:spacing w:before="0" w:after="0"/>
        <w:ind w:left="284"/>
        <w:rPr>
          <w:sz w:val="20"/>
          <w:szCs w:val="20"/>
        </w:rPr>
      </w:pPr>
      <w:r>
        <w:rPr>
          <w:rFonts w:ascii="Arial" w:eastAsia="Arial" w:hAnsi="Arial" w:cs="Arial"/>
          <w:b/>
          <w:bCs/>
          <w:sz w:val="20"/>
          <w:szCs w:val="20"/>
        </w:rPr>
        <w:t>3</w:t>
      </w:r>
      <w:r>
        <w:rPr>
          <w:rFonts w:ascii="Arial" w:eastAsia="Arial" w:hAnsi="Arial" w:cs="Arial"/>
          <w:b/>
          <w:bCs/>
          <w:sz w:val="20"/>
          <w:szCs w:val="20"/>
        </w:rPr>
        <w:t xml:space="preserve">          </w:t>
      </w:r>
      <w:r>
        <w:rPr>
          <w:rFonts w:ascii="Arial" w:eastAsia="Arial" w:hAnsi="Arial" w:cs="Arial"/>
          <w:b/>
          <w:bCs/>
          <w:sz w:val="20"/>
          <w:szCs w:val="20"/>
        </w:rPr>
        <w:t>Full details of directors /trustees / members /shareholders.</w:t>
      </w:r>
    </w:p>
    <w:tbl>
      <w:tblPr>
        <w:tblInd w:w="79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191"/>
        <w:gridCol w:w="2788"/>
        <w:gridCol w:w="1887"/>
        <w:gridCol w:w="1674"/>
      </w:tblGrid>
      <w:tr>
        <w:tblPrEx>
          <w:tblInd w:w="79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trHeight w:val="737"/>
        </w:trPr>
        <w:tc>
          <w:tcPr>
            <w:tcW w:w="267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Full Name</w:t>
            </w:r>
          </w:p>
        </w:tc>
        <w:tc>
          <w:tcPr>
            <w:tcW w:w="2572" w:type="dxa"/>
            <w:tcBorders>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Identity Number</w:t>
            </w:r>
          </w:p>
        </w:tc>
        <w:tc>
          <w:tcPr>
            <w:tcW w:w="2268" w:type="dxa"/>
            <w:tcBorders>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Personal Income</w:t>
            </w:r>
          </w:p>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Tax Reference Number</w:t>
            </w:r>
          </w:p>
        </w:tc>
        <w:tc>
          <w:tcPr>
            <w:tcW w:w="1985"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State Employee Number/</w:t>
            </w:r>
          </w:p>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Persal Number</w:t>
            </w:r>
          </w:p>
        </w:tc>
      </w:tr>
      <w:tr>
        <w:tblPrEx>
          <w:tblInd w:w="790" w:type="dxa"/>
          <w:tblCellMar>
            <w:top w:w="0" w:type="dxa"/>
            <w:left w:w="0" w:type="dxa"/>
            <w:bottom w:w="0" w:type="dxa"/>
            <w:right w:w="0" w:type="dxa"/>
          </w:tblCellMar>
        </w:tblPrEx>
        <w:trPr>
          <w:trHeight w:val="486"/>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rPr>
          <w:trHeight w:val="350"/>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p>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p>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rPr>
          <w:trHeight w:val="593"/>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rPr>
          <w:trHeight w:val="530"/>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p>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rPr>
          <w:trHeight w:val="638"/>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c>
          <w:tcPr>
            <w:tcW w:w="267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p>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bl>
    <w:p>
      <w:pPr>
        <w:spacing w:before="0" w:after="0"/>
        <w:rPr>
          <w:sz w:val="20"/>
          <w:szCs w:val="20"/>
        </w:rPr>
      </w:pPr>
    </w:p>
    <w:p>
      <w:pPr>
        <w:spacing w:before="0" w:after="0"/>
        <w:rPr>
          <w:sz w:val="20"/>
          <w:szCs w:val="20"/>
        </w:rPr>
      </w:pPr>
    </w:p>
    <w:p>
      <w:pPr>
        <w:spacing w:before="0" w:after="0"/>
        <w:ind w:left="284"/>
        <w:rPr>
          <w:sz w:val="20"/>
          <w:szCs w:val="20"/>
        </w:rPr>
      </w:pPr>
      <w:r>
        <w:rPr>
          <w:rFonts w:ascii="Arial" w:eastAsia="Arial" w:hAnsi="Arial" w:cs="Arial"/>
          <w:b/>
          <w:bCs/>
          <w:sz w:val="20"/>
          <w:szCs w:val="20"/>
        </w:rPr>
        <w:t>4</w:t>
      </w:r>
      <w:r>
        <w:rPr>
          <w:rFonts w:ascii="Arial" w:eastAsia="Arial" w:hAnsi="Arial" w:cs="Arial"/>
          <w:b/>
          <w:bCs/>
          <w:sz w:val="20"/>
          <w:szCs w:val="20"/>
        </w:rPr>
        <w:t xml:space="preserve">     </w:t>
      </w:r>
      <w:r>
        <w:rPr>
          <w:rFonts w:ascii="Arial" w:eastAsia="Arial" w:hAnsi="Arial" w:cs="Arial"/>
          <w:b/>
          <w:bCs/>
          <w:sz w:val="20"/>
          <w:szCs w:val="20"/>
        </w:rPr>
        <w:t>DECLARATION</w:t>
      </w:r>
    </w:p>
    <w:p>
      <w:pPr>
        <w:spacing w:before="0" w:after="0"/>
        <w:rPr>
          <w:sz w:val="20"/>
          <w:szCs w:val="20"/>
        </w:rPr>
      </w:pPr>
    </w:p>
    <w:p>
      <w:pPr>
        <w:spacing w:before="0" w:after="0"/>
        <w:ind w:left="709"/>
        <w:rPr>
          <w:sz w:val="20"/>
          <w:szCs w:val="20"/>
        </w:rPr>
      </w:pPr>
      <w:r>
        <w:rPr>
          <w:rFonts w:ascii="Arial" w:eastAsia="Arial" w:hAnsi="Arial" w:cs="Arial"/>
          <w:sz w:val="20"/>
          <w:szCs w:val="20"/>
        </w:rPr>
        <w:t>I, THE UNDERSIGNED (NAME)……………………………………………………..</w:t>
      </w:r>
    </w:p>
    <w:p>
      <w:pPr>
        <w:spacing w:before="0" w:after="0"/>
        <w:ind w:left="709"/>
        <w:rPr>
          <w:sz w:val="20"/>
          <w:szCs w:val="20"/>
        </w:rPr>
      </w:pPr>
      <w:r>
        <w:rPr>
          <w:rFonts w:ascii="Arial" w:eastAsia="Arial" w:hAnsi="Arial" w:cs="Arial"/>
          <w:sz w:val="20"/>
          <w:szCs w:val="20"/>
        </w:rPr>
        <w:t>CERTIFY THAT THE INFORMATION FURNISHED IN PARAGRAPH 2 and 3 ABOVE IS CORRECT.</w:t>
      </w:r>
    </w:p>
    <w:p>
      <w:pPr>
        <w:spacing w:before="0" w:after="0"/>
        <w:ind w:left="709"/>
        <w:rPr>
          <w:sz w:val="20"/>
          <w:szCs w:val="20"/>
        </w:rPr>
      </w:pPr>
      <w:r>
        <w:rPr>
          <w:rFonts w:ascii="Arial" w:eastAsia="Arial" w:hAnsi="Arial" w:cs="Arial"/>
          <w:sz w:val="20"/>
          <w:szCs w:val="20"/>
        </w:rPr>
        <w:t xml:space="preserve"> </w:t>
      </w:r>
      <w:r>
        <w:rPr>
          <w:rFonts w:ascii="Arial" w:eastAsia="Arial" w:hAnsi="Arial" w:cs="Arial"/>
          <w:sz w:val="20"/>
          <w:szCs w:val="20"/>
        </w:rPr>
        <w:t xml:space="preserve">I ACCEPT THAT THE STATE MAY REJECT THE BID OR ACT AGAINST ME SHOULD THIS </w:t>
      </w:r>
    </w:p>
    <w:p>
      <w:pPr>
        <w:spacing w:before="0" w:after="0"/>
        <w:ind w:left="709"/>
        <w:rPr>
          <w:sz w:val="20"/>
          <w:szCs w:val="20"/>
        </w:rPr>
      </w:pPr>
      <w:r>
        <w:rPr>
          <w:rFonts w:ascii="Arial" w:eastAsia="Arial" w:hAnsi="Arial" w:cs="Arial"/>
          <w:sz w:val="20"/>
          <w:szCs w:val="20"/>
        </w:rPr>
        <w:t>DECLARATION PROVES TO BE FALSE.</w:t>
      </w:r>
    </w:p>
    <w:p>
      <w:pPr>
        <w:spacing w:before="0" w:after="0"/>
        <w:rPr>
          <w:sz w:val="20"/>
          <w:szCs w:val="20"/>
        </w:rPr>
      </w:pPr>
    </w:p>
    <w:p>
      <w:pPr>
        <w:spacing w:before="0" w:after="0"/>
        <w:rPr>
          <w:sz w:val="20"/>
          <w:szCs w:val="20"/>
        </w:rPr>
      </w:pPr>
    </w:p>
    <w:p>
      <w:pPr>
        <w:spacing w:before="0" w:after="0"/>
        <w:ind w:firstLine="709"/>
        <w:rPr>
          <w:sz w:val="20"/>
          <w:szCs w:val="20"/>
        </w:rPr>
      </w:pPr>
      <w:r>
        <w:rPr>
          <w:rFonts w:ascii="Arial" w:eastAsia="Arial" w:hAnsi="Arial" w:cs="Arial"/>
          <w:b/>
          <w:bCs/>
          <w:sz w:val="20"/>
          <w:szCs w:val="20"/>
        </w:rPr>
        <w:t>…………………………………….</w:t>
      </w:r>
      <w:r>
        <w:rPr>
          <w:rFonts w:ascii="Arial" w:eastAsia="Arial" w:hAnsi="Arial" w:cs="Arial"/>
          <w:b/>
          <w:bCs/>
          <w:sz w:val="20"/>
          <w:szCs w:val="20"/>
        </w:rPr>
        <w:t xml:space="preserve">                              </w:t>
      </w:r>
      <w:r>
        <w:rPr>
          <w:rFonts w:ascii="Arial" w:eastAsia="Arial" w:hAnsi="Arial" w:cs="Arial"/>
          <w:b/>
          <w:bCs/>
          <w:sz w:val="20"/>
          <w:szCs w:val="20"/>
        </w:rPr>
        <w:t>....…………………………………</w:t>
      </w:r>
    </w:p>
    <w:p>
      <w:pPr>
        <w:spacing w:before="0" w:after="0"/>
        <w:ind w:firstLine="709"/>
        <w:rPr>
          <w:sz w:val="20"/>
          <w:szCs w:val="20"/>
        </w:rPr>
      </w:pPr>
      <w:r>
        <w:rPr>
          <w:rFonts w:ascii="Arial" w:eastAsia="Arial" w:hAnsi="Arial" w:cs="Arial"/>
          <w:b/>
          <w:bCs/>
          <w:sz w:val="20"/>
          <w:szCs w:val="20"/>
        </w:rPr>
        <w:t>Signature</w:t>
      </w:r>
      <w:r>
        <w:rPr>
          <w:rFonts w:ascii="Arial" w:eastAsia="Arial" w:hAnsi="Arial" w:cs="Arial"/>
          <w:b/>
          <w:bCs/>
          <w:sz w:val="20"/>
          <w:szCs w:val="20"/>
        </w:rPr>
        <w:t xml:space="preserve">                                                                 </w:t>
      </w:r>
      <w:r>
        <w:rPr>
          <w:rFonts w:ascii="Arial" w:eastAsia="Arial" w:hAnsi="Arial" w:cs="Arial"/>
          <w:b/>
          <w:bCs/>
          <w:sz w:val="20"/>
          <w:szCs w:val="20"/>
        </w:rPr>
        <w:t>Date</w:t>
      </w:r>
    </w:p>
    <w:p>
      <w:pPr>
        <w:spacing w:before="0" w:after="0"/>
        <w:ind w:firstLine="709"/>
        <w:rPr>
          <w:sz w:val="20"/>
          <w:szCs w:val="20"/>
        </w:rPr>
      </w:pPr>
    </w:p>
    <w:p>
      <w:pPr>
        <w:spacing w:before="0" w:after="0"/>
        <w:ind w:firstLine="709"/>
        <w:rPr>
          <w:sz w:val="20"/>
          <w:szCs w:val="20"/>
        </w:rPr>
      </w:pPr>
    </w:p>
    <w:p>
      <w:pPr>
        <w:spacing w:before="0" w:after="0"/>
        <w:ind w:firstLine="709"/>
        <w:rPr>
          <w:sz w:val="20"/>
          <w:szCs w:val="20"/>
        </w:rPr>
      </w:pPr>
      <w:r>
        <w:rPr>
          <w:rFonts w:ascii="Arial" w:eastAsia="Arial" w:hAnsi="Arial" w:cs="Arial"/>
          <w:b/>
          <w:bCs/>
          <w:sz w:val="20"/>
          <w:szCs w:val="20"/>
        </w:rPr>
        <w:t xml:space="preserve"> </w:t>
      </w:r>
      <w:r>
        <w:rPr>
          <w:rFonts w:ascii="Arial" w:eastAsia="Arial" w:hAnsi="Arial" w:cs="Arial"/>
          <w:b/>
          <w:bCs/>
          <w:sz w:val="20"/>
          <w:szCs w:val="20"/>
        </w:rPr>
        <w:t>…………………………………….</w:t>
      </w:r>
      <w:r>
        <w:rPr>
          <w:rFonts w:ascii="Arial" w:eastAsia="Arial" w:hAnsi="Arial" w:cs="Arial"/>
          <w:b/>
          <w:bCs/>
          <w:sz w:val="20"/>
          <w:szCs w:val="20"/>
        </w:rPr>
        <w:t xml:space="preserve">                             </w:t>
      </w:r>
      <w:r>
        <w:rPr>
          <w:rFonts w:ascii="Arial" w:eastAsia="Arial" w:hAnsi="Arial" w:cs="Arial"/>
          <w:b/>
          <w:bCs/>
          <w:sz w:val="20"/>
          <w:szCs w:val="20"/>
        </w:rPr>
        <w:t>………………………..................</w:t>
      </w:r>
    </w:p>
    <w:p>
      <w:pPr>
        <w:spacing w:before="0" w:after="0"/>
        <w:ind w:firstLine="709"/>
        <w:rPr>
          <w:sz w:val="20"/>
          <w:szCs w:val="20"/>
        </w:rPr>
      </w:pPr>
      <w:r>
        <w:rPr>
          <w:rFonts w:ascii="Arial" w:eastAsia="Arial" w:hAnsi="Arial" w:cs="Arial"/>
          <w:b/>
          <w:bCs/>
          <w:sz w:val="20"/>
          <w:szCs w:val="20"/>
        </w:rPr>
        <w:t>Position</w:t>
      </w:r>
      <w:r>
        <w:rPr>
          <w:rFonts w:ascii="Arial" w:eastAsia="Arial" w:hAnsi="Arial" w:cs="Arial"/>
          <w:b/>
          <w:bCs/>
          <w:sz w:val="20"/>
          <w:szCs w:val="20"/>
        </w:rPr>
        <w:t xml:space="preserve">                                                                   </w:t>
      </w:r>
      <w:r>
        <w:rPr>
          <w:rFonts w:ascii="Arial" w:eastAsia="Arial" w:hAnsi="Arial" w:cs="Arial"/>
          <w:b/>
          <w:bCs/>
          <w:sz w:val="20"/>
          <w:szCs w:val="20"/>
        </w:rPr>
        <w:t>Name of bidder</w:t>
      </w:r>
    </w:p>
    <w:p>
      <w:pPr>
        <w:keepNext/>
        <w:spacing w:before="0" w:after="0"/>
        <w:ind w:left="3404" w:firstLine="851"/>
        <w:rPr>
          <w:sz w:val="20"/>
          <w:szCs w:val="20"/>
        </w:rPr>
      </w:pPr>
      <w:r>
        <w:rPr>
          <w:rFonts w:ascii="Arial" w:eastAsia="Arial" w:hAnsi="Arial" w:cs="Arial"/>
          <w:b/>
          <w:bCs/>
          <w:sz w:val="20"/>
          <w:szCs w:val="20"/>
        </w:rPr>
        <w:t>SBD 8</w:t>
      </w:r>
    </w:p>
    <w:p>
      <w:pPr>
        <w:keepNext/>
        <w:spacing w:before="0" w:after="0"/>
        <w:jc w:val="center"/>
        <w:rPr>
          <w:sz w:val="20"/>
          <w:szCs w:val="20"/>
        </w:rPr>
      </w:pPr>
    </w:p>
    <w:p>
      <w:pPr>
        <w:keepNext/>
        <w:spacing w:before="0" w:after="0"/>
        <w:jc w:val="center"/>
        <w:rPr>
          <w:sz w:val="20"/>
          <w:szCs w:val="20"/>
        </w:rPr>
      </w:pPr>
      <w:r>
        <w:rPr>
          <w:rFonts w:ascii="Arial" w:eastAsia="Arial" w:hAnsi="Arial" w:cs="Arial"/>
          <w:b/>
          <w:bCs/>
          <w:sz w:val="20"/>
          <w:szCs w:val="20"/>
        </w:rPr>
        <w:t xml:space="preserve">DECLARATION OF BIDDER’S PAST SUPPLY CHAIN MANAGEMENT PRACTICES </w:t>
      </w:r>
    </w:p>
    <w:p>
      <w:pPr>
        <w:spacing w:before="0" w:after="0"/>
        <w:jc w:val="center"/>
        <w:rPr>
          <w:sz w:val="20"/>
          <w:szCs w:val="20"/>
        </w:rPr>
      </w:pPr>
    </w:p>
    <w:p>
      <w:pPr>
        <w:spacing w:before="0" w:after="0"/>
        <w:ind w:left="1080" w:hanging="720"/>
        <w:jc w:val="both"/>
        <w:rPr>
          <w:sz w:val="20"/>
          <w:szCs w:val="20"/>
        </w:rPr>
      </w:pPr>
      <w:r>
        <w:rPr>
          <w:rFonts w:ascii="Arial" w:eastAsia="Arial" w:hAnsi="Arial" w:cs="Arial"/>
          <w:sz w:val="20"/>
          <w:szCs w:val="20"/>
        </w:rPr>
        <w:t>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This Standard Bidding Document must form part of all bids invited.</w:t>
      </w:r>
      <w:r>
        <w:rPr>
          <w:rFonts w:ascii="Arial" w:eastAsia="Arial" w:hAnsi="Arial" w:cs="Arial"/>
          <w:sz w:val="20"/>
          <w:szCs w:val="20"/>
        </w:rPr>
        <w:t xml:space="preserve">  </w:t>
      </w:r>
    </w:p>
    <w:p>
      <w:pPr>
        <w:spacing w:before="0" w:after="0"/>
        <w:ind w:left="360"/>
        <w:jc w:val="both"/>
        <w:rPr>
          <w:sz w:val="20"/>
          <w:szCs w:val="20"/>
        </w:rPr>
      </w:pPr>
    </w:p>
    <w:p>
      <w:pPr>
        <w:spacing w:before="0" w:after="0"/>
        <w:ind w:left="1080" w:hanging="720"/>
        <w:jc w:val="both"/>
        <w:rPr>
          <w:sz w:val="20"/>
          <w:szCs w:val="20"/>
        </w:rPr>
      </w:pPr>
      <w:r>
        <w:rPr>
          <w:rFonts w:ascii="Arial" w:eastAsia="Arial" w:hAnsi="Arial" w:cs="Arial"/>
          <w:sz w:val="20"/>
          <w:szCs w:val="20"/>
        </w:rPr>
        <w:t>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It serves as a declaration to be used by Institutions in ensuring that when goods and services are being procured, all reasonable steps are taken to combat the abuse of the supply chain management system. </w:t>
      </w:r>
    </w:p>
    <w:p>
      <w:pPr>
        <w:spacing w:before="0" w:after="0"/>
        <w:jc w:val="both"/>
        <w:rPr>
          <w:sz w:val="20"/>
          <w:szCs w:val="20"/>
        </w:rPr>
      </w:pPr>
    </w:p>
    <w:p>
      <w:pPr>
        <w:spacing w:before="0" w:after="0"/>
        <w:ind w:left="1080" w:hanging="720"/>
        <w:jc w:val="both"/>
        <w:rPr>
          <w:sz w:val="20"/>
          <w:szCs w:val="20"/>
        </w:rPr>
      </w:pPr>
      <w:r>
        <w:rPr>
          <w:rFonts w:ascii="Arial" w:eastAsia="Arial" w:hAnsi="Arial" w:cs="Arial"/>
          <w:sz w:val="20"/>
          <w:szCs w:val="20"/>
        </w:rPr>
        <w:t>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bid of any bidder may be disregarded if that bidder, or any of its directors have-</w:t>
      </w:r>
    </w:p>
    <w:p>
      <w:pPr>
        <w:spacing w:before="0" w:after="0"/>
        <w:jc w:val="both"/>
        <w:rPr>
          <w:sz w:val="20"/>
          <w:szCs w:val="20"/>
        </w:rPr>
      </w:pPr>
    </w:p>
    <w:p>
      <w:pPr>
        <w:numPr>
          <w:ilvl w:val="0"/>
          <w:numId w:val="33"/>
        </w:numPr>
        <w:pBdr>
          <w:left w:val="none" w:sz="0" w:space="4" w:color="auto"/>
        </w:pBdr>
        <w:spacing w:before="0"/>
        <w:ind w:left="1440" w:right="0" w:hanging="332"/>
        <w:jc w:val="both"/>
        <w:rPr>
          <w:rFonts w:ascii="Arial" w:eastAsia="Arial" w:hAnsi="Arial" w:cs="Arial"/>
          <w:sz w:val="20"/>
          <w:szCs w:val="20"/>
        </w:rPr>
      </w:pPr>
      <w:r>
        <w:rPr>
          <w:rFonts w:ascii="Arial" w:eastAsia="Arial" w:hAnsi="Arial" w:cs="Arial"/>
          <w:sz w:val="20"/>
          <w:szCs w:val="20"/>
        </w:rPr>
        <w:t xml:space="preserve">abused the institution supply chain management system </w:t>
      </w:r>
    </w:p>
    <w:p>
      <w:pPr>
        <w:numPr>
          <w:ilvl w:val="0"/>
          <w:numId w:val="33"/>
        </w:numPr>
        <w:pBdr>
          <w:left w:val="none" w:sz="0" w:space="4" w:color="auto"/>
        </w:pBdr>
        <w:ind w:left="1440" w:right="0" w:hanging="343"/>
        <w:jc w:val="both"/>
        <w:rPr>
          <w:rFonts w:ascii="Arial" w:eastAsia="Arial" w:hAnsi="Arial" w:cs="Arial"/>
          <w:sz w:val="20"/>
          <w:szCs w:val="20"/>
        </w:rPr>
      </w:pPr>
      <w:r>
        <w:rPr>
          <w:rFonts w:ascii="Arial" w:eastAsia="Arial" w:hAnsi="Arial" w:cs="Arial"/>
          <w:sz w:val="20"/>
          <w:szCs w:val="20"/>
        </w:rPr>
        <w:t>committed fraud or any other improper conduct in relation to such system; or</w:t>
      </w:r>
    </w:p>
    <w:p>
      <w:pPr>
        <w:numPr>
          <w:ilvl w:val="0"/>
          <w:numId w:val="33"/>
        </w:numPr>
        <w:pBdr>
          <w:left w:val="none" w:sz="0" w:space="5" w:color="auto"/>
        </w:pBdr>
        <w:spacing w:after="0"/>
        <w:ind w:left="1440" w:right="0" w:hanging="343"/>
        <w:jc w:val="both"/>
        <w:rPr>
          <w:rFonts w:ascii="Arial" w:eastAsia="Arial" w:hAnsi="Arial" w:cs="Arial"/>
          <w:sz w:val="20"/>
          <w:szCs w:val="20"/>
        </w:rPr>
      </w:pPr>
      <w:r>
        <w:rPr>
          <w:rFonts w:ascii="Arial" w:eastAsia="Arial" w:hAnsi="Arial" w:cs="Arial"/>
          <w:sz w:val="20"/>
          <w:szCs w:val="20"/>
        </w:rPr>
        <w:t>failure to perform on any previous contract.</w:t>
      </w:r>
    </w:p>
    <w:p>
      <w:pPr>
        <w:spacing w:before="0" w:after="0"/>
        <w:ind w:left="720" w:hanging="720"/>
        <w:rPr>
          <w:sz w:val="20"/>
          <w:szCs w:val="20"/>
        </w:rPr>
      </w:pPr>
    </w:p>
    <w:p>
      <w:pPr>
        <w:spacing w:before="0" w:after="0"/>
        <w:ind w:left="1080" w:hanging="720"/>
        <w:jc w:val="both"/>
        <w:rPr>
          <w:sz w:val="20"/>
          <w:szCs w:val="20"/>
        </w:rPr>
      </w:pPr>
      <w:r>
        <w:rPr>
          <w:rFonts w:ascii="Arial" w:eastAsia="Arial" w:hAnsi="Arial" w:cs="Arial"/>
          <w:b/>
          <w:bCs/>
          <w:sz w:val="20"/>
          <w:szCs w:val="20"/>
        </w:rPr>
        <w:t>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In order to give effect to the above, the following questionnaire must be completed and submitted with the bid.</w:t>
      </w:r>
    </w:p>
    <w:p>
      <w:pPr>
        <w:spacing w:before="0" w:after="0"/>
        <w:ind w:left="360"/>
        <w:jc w:val="both"/>
        <w:rPr>
          <w:sz w:val="20"/>
          <w:szCs w:val="20"/>
        </w:rPr>
      </w:pPr>
    </w:p>
    <w:tbl>
      <w:tblPr>
        <w:tblInd w:w="508"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812"/>
        <w:gridCol w:w="6599"/>
        <w:gridCol w:w="899"/>
        <w:gridCol w:w="513"/>
      </w:tblGrid>
      <w:tr>
        <w:tblPrEx>
          <w:tblInd w:w="508"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trHeight w:val="368"/>
        </w:trPr>
        <w:tc>
          <w:tcPr>
            <w:tcW w:w="617" w:type="dxa"/>
            <w:tcBorders>
              <w:bottom w:val="single" w:sz="6" w:space="0" w:color="000000"/>
              <w:right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Item</w:t>
            </w:r>
          </w:p>
        </w:tc>
        <w:tc>
          <w:tcPr>
            <w:tcW w:w="7152" w:type="dxa"/>
            <w:tcBorders>
              <w:left w:val="single" w:sz="6" w:space="0" w:color="000000"/>
              <w:bottom w:val="single" w:sz="6" w:space="0" w:color="000000"/>
              <w:right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Question</w:t>
            </w:r>
          </w:p>
        </w:tc>
        <w:tc>
          <w:tcPr>
            <w:tcW w:w="735" w:type="dxa"/>
            <w:tcBorders>
              <w:left w:val="single" w:sz="6" w:space="0" w:color="000000"/>
              <w:bottom w:val="single" w:sz="6" w:space="0" w:color="000000"/>
              <w:right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Yes</w:t>
            </w:r>
          </w:p>
        </w:tc>
        <w:tc>
          <w:tcPr>
            <w:tcW w:w="1560" w:type="dxa"/>
            <w:tcBorders>
              <w:left w:val="single" w:sz="6" w:space="0" w:color="000000"/>
              <w:bottom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No</w:t>
            </w: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4.1</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Is the bidder or any of its directors listed on the National Treasury’s Database of Restricted Suppliers as companies or persons prohibited from doing business with the public sector?</w:t>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(Companies or persons who are listed on this Database were informed in</w:t>
            </w:r>
          </w:p>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Writing of this restriction by the Accounting Officer/Authority of the</w:t>
            </w:r>
          </w:p>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 xml:space="preserve">institution that imposed the restriction after the </w:t>
            </w:r>
            <w:r>
              <w:rPr>
                <w:rFonts w:ascii="Arial" w:eastAsia="Arial" w:hAnsi="Arial" w:cs="Arial"/>
                <w:b/>
                <w:bCs/>
                <w:i/>
                <w:iCs/>
                <w:smallCaps w:val="0"/>
                <w:color w:val="000000"/>
                <w:sz w:val="20"/>
                <w:szCs w:val="20"/>
              </w:rPr>
              <w:t>audialterampartem</w:t>
            </w:r>
            <w:r>
              <w:rPr>
                <w:rFonts w:ascii="Arial" w:eastAsia="Arial" w:hAnsi="Arial" w:cs="Arial"/>
                <w:b/>
                <w:bCs/>
                <w:i w:val="0"/>
                <w:iCs w:val="0"/>
                <w:smallCaps w:val="0"/>
                <w:color w:val="000000"/>
                <w:sz w:val="20"/>
                <w:szCs w:val="20"/>
              </w:rPr>
              <w:t xml:space="preserve"> rule was applied).</w:t>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0"/>
                <w:szCs w:val="20"/>
              </w:rPr>
              <w:t>The Database of Restricted Suppliers now resides on the National Treasury’s website(</w:t>
            </w:r>
            <w:hyperlink r:id="rId10" w:history="1">
              <w:r>
                <w:rPr>
                  <w:rFonts w:ascii="Arial" w:eastAsia="Arial" w:hAnsi="Arial" w:cs="Arial"/>
                  <w:b w:val="0"/>
                  <w:bCs w:val="0"/>
                  <w:i w:val="0"/>
                  <w:iCs w:val="0"/>
                  <w:smallCaps w:val="0"/>
                  <w:color w:val="000000"/>
                  <w:sz w:val="20"/>
                  <w:szCs w:val="20"/>
                  <w:u w:val="single" w:color="000000"/>
                </w:rPr>
                <w:t>www.treasury.gov.za</w:t>
              </w:r>
            </w:hyperlink>
            <w:r>
              <w:rPr>
                <w:rFonts w:ascii="Arial" w:eastAsia="Arial" w:hAnsi="Arial" w:cs="Arial"/>
                <w:b w:val="0"/>
                <w:bCs w:val="0"/>
                <w:i w:val="0"/>
                <w:iCs w:val="0"/>
                <w:smallCaps w:val="0"/>
                <w:color w:val="000000"/>
                <w:sz w:val="20"/>
                <w:szCs w:val="20"/>
              </w:rPr>
              <w:t>) and can be accessed by clicking on its link at</w:t>
            </w:r>
          </w:p>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the bottom of the home page</w:t>
            </w:r>
            <w:r>
              <w:rPr>
                <w:rFonts w:ascii="Arial" w:eastAsia="Arial" w:hAnsi="Arial" w:cs="Arial"/>
                <w:b/>
                <w:bCs/>
                <w:i w:val="0"/>
                <w:iCs w:val="0"/>
                <w:smallCaps w:val="0"/>
                <w:color w:val="000000"/>
                <w:sz w:val="20"/>
                <w:szCs w:val="20"/>
              </w:rPr>
              <w:t>.</w:t>
            </w:r>
          </w:p>
          <w:p>
            <w:pPr>
              <w:spacing w:before="0" w:after="0"/>
              <w:jc w:val="center"/>
              <w:rPr>
                <w:b w:val="0"/>
                <w:bCs w:val="0"/>
                <w:i w:val="0"/>
                <w:iCs w:val="0"/>
                <w:smallCaps w:val="0"/>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3"/>
                  <w:enabled/>
                  <w:calcOnExit w:val="0"/>
                  <w:checkBox>
                    <w:size w:val="20"/>
                    <w:default w:val="0"/>
                    <w:checked w:val="0"/>
                  </w:checkBox>
                </w:ffData>
              </w:fldChar>
            </w:r>
            <w:bookmarkStart w:id="7" w:name="Check3"/>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7"/>
          </w:p>
          <w:p>
            <w:pPr>
              <w:spacing w:before="0" w:after="0"/>
              <w:jc w:val="center"/>
              <w:rPr>
                <w:b w:val="0"/>
                <w:bCs w:val="0"/>
                <w:i w:val="0"/>
                <w:iCs w:val="0"/>
                <w:smallCaps w:val="0"/>
                <w:color w:val="000000"/>
                <w:sz w:val="20"/>
                <w:szCs w:val="20"/>
              </w:rPr>
            </w:pP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4.1.1</w:t>
            </w:r>
          </w:p>
        </w:tc>
        <w:tc>
          <w:tcPr>
            <w:tcW w:w="9447" w:type="dxa"/>
            <w:gridSpan w:val="3"/>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If so, furnish particulars:</w:t>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4.2</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Is the bidder or any of its directors listed on the Register for Tender Defaulters in terms of section 29 of the Prevention and Combating of Corrupt Activities Act (No 12 of 2004)?</w:t>
            </w:r>
          </w:p>
          <w:p>
            <w:pPr>
              <w:spacing w:before="0" w:after="0"/>
              <w:rPr>
                <w:b w:val="0"/>
                <w:bCs w:val="0"/>
                <w:i w:val="0"/>
                <w:iCs w:val="0"/>
                <w:smallCaps w:val="0"/>
                <w:color w:val="000000"/>
                <w:sz w:val="20"/>
                <w:szCs w:val="20"/>
              </w:rPr>
            </w:pPr>
          </w:p>
          <w:p>
            <w:pPr>
              <w:spacing w:before="0" w:after="0"/>
              <w:ind w:left="2"/>
              <w:jc w:val="center"/>
              <w:rPr>
                <w:b w:val="0"/>
                <w:bCs w:val="0"/>
                <w:i w:val="0"/>
                <w:iCs w:val="0"/>
                <w:smallCaps w:val="0"/>
                <w:color w:val="000000"/>
                <w:sz w:val="22"/>
                <w:szCs w:val="22"/>
              </w:rPr>
            </w:pPr>
            <w:r>
              <w:rPr>
                <w:rFonts w:ascii="Arial" w:eastAsia="Arial" w:hAnsi="Arial" w:cs="Arial"/>
                <w:b/>
                <w:bCs/>
                <w:i w:val="0"/>
                <w:iCs w:val="0"/>
                <w:smallCaps w:val="0"/>
                <w:color w:val="000000"/>
                <w:sz w:val="20"/>
                <w:szCs w:val="20"/>
              </w:rPr>
              <w:t>The Register for Tender Defaulters can be accessed on the National Treasury’s website (</w:t>
            </w:r>
            <w:hyperlink r:id="rId10" w:history="1">
              <w:r>
                <w:rPr>
                  <w:rFonts w:ascii="Arial" w:eastAsia="Arial" w:hAnsi="Arial" w:cs="Arial"/>
                  <w:b/>
                  <w:bCs/>
                  <w:i w:val="0"/>
                  <w:iCs w:val="0"/>
                  <w:smallCaps w:val="0"/>
                  <w:color w:val="000000"/>
                  <w:sz w:val="20"/>
                  <w:szCs w:val="20"/>
                  <w:u w:val="single" w:color="000000"/>
                </w:rPr>
                <w:t>www.treasury.gov.za</w:t>
              </w:r>
            </w:hyperlink>
            <w:r>
              <w:rPr>
                <w:rFonts w:ascii="Arial" w:eastAsia="Arial" w:hAnsi="Arial" w:cs="Arial"/>
                <w:b/>
                <w:bCs/>
                <w:i w:val="0"/>
                <w:iCs w:val="0"/>
                <w:smallCaps w:val="0"/>
                <w:color w:val="000000"/>
                <w:sz w:val="20"/>
                <w:szCs w:val="20"/>
              </w:rPr>
              <w:t>) by clicking on its link at the bottom of the home page.</w:t>
            </w:r>
          </w:p>
          <w:p>
            <w:pPr>
              <w:spacing w:before="0" w:after="0"/>
              <w:ind w:left="2"/>
              <w:jc w:val="center"/>
              <w:rPr>
                <w:b w:val="0"/>
                <w:bCs w:val="0"/>
                <w:i w:val="0"/>
                <w:iCs w:val="0"/>
                <w:smallCaps w:val="0"/>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4"/>
                  <w:enabled/>
                  <w:calcOnExit w:val="0"/>
                  <w:checkBox>
                    <w:size w:val="20"/>
                    <w:default w:val="0"/>
                    <w:checked w:val="0"/>
                  </w:checkBox>
                </w:ffData>
              </w:fldChar>
            </w:r>
            <w:bookmarkStart w:id="8" w:name="Check4"/>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8"/>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4.2.1</w:t>
            </w:r>
          </w:p>
        </w:tc>
        <w:tc>
          <w:tcPr>
            <w:tcW w:w="9447" w:type="dxa"/>
            <w:gridSpan w:val="3"/>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If so, furnish particulars:</w:t>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4.3</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Was the bidder or any of its directors convicted by a court of law (including a court of law outside the Republic of South Africa) for fraud or corruption during the past five years?</w:t>
            </w:r>
          </w:p>
          <w:p>
            <w:pPr>
              <w:spacing w:before="0" w:after="0"/>
              <w:jc w:val="center"/>
              <w:rPr>
                <w:b w:val="0"/>
                <w:bCs w:val="0"/>
                <w:i w:val="0"/>
                <w:iCs w:val="0"/>
                <w:smallCaps w:val="0"/>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8"/>
                  <w:enabled/>
                  <w:calcOnExit w:val="0"/>
                  <w:checkBox>
                    <w:size w:val="20"/>
                    <w:default w:val="0"/>
                    <w:checked w:val="0"/>
                  </w:checkBox>
                </w:ffData>
              </w:fldChar>
            </w:r>
            <w:bookmarkStart w:id="9" w:name="Check8"/>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9"/>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7"/>
                  <w:enabled/>
                  <w:calcOnExit w:val="0"/>
                  <w:checkBox>
                    <w:size w:val="20"/>
                    <w:default w:val="0"/>
                    <w:checked w:val="0"/>
                  </w:checkBox>
                </w:ffData>
              </w:fldChar>
            </w:r>
            <w:bookmarkStart w:id="10" w:name="Check7"/>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10"/>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4.3.1</w:t>
            </w:r>
          </w:p>
        </w:tc>
        <w:tc>
          <w:tcPr>
            <w:tcW w:w="9447" w:type="dxa"/>
            <w:gridSpan w:val="3"/>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If so, furnish particulars:</w:t>
            </w:r>
          </w:p>
          <w:p>
            <w:pPr>
              <w:spacing w:before="0" w:after="0"/>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4.4</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ind w:left="64"/>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Was any contract between the bidder and any organ of</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state terminated during the past five years on account of failure to perform on or comply with the contract?</w:t>
            </w: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8"/>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7"/>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r>
      <w:tr>
        <w:tblPrEx>
          <w:tblInd w:w="508" w:type="dxa"/>
          <w:tblCellMar>
            <w:top w:w="0" w:type="dxa"/>
            <w:left w:w="0" w:type="dxa"/>
            <w:bottom w:w="0" w:type="dxa"/>
            <w:right w:w="0" w:type="dxa"/>
          </w:tblCellMar>
        </w:tblPrEx>
        <w:tc>
          <w:tcPr>
            <w:tcW w:w="617"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4.4.1</w:t>
            </w:r>
          </w:p>
        </w:tc>
        <w:tc>
          <w:tcPr>
            <w:tcW w:w="9447" w:type="dxa"/>
            <w:gridSpan w:val="3"/>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If so, furnish particulars:</w:t>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p>
        </w:tc>
      </w:tr>
    </w:tbl>
    <w:p>
      <w:pPr>
        <w:spacing w:before="0" w:after="0"/>
        <w:ind w:left="900" w:hanging="720"/>
        <w:jc w:val="center"/>
        <w:rPr>
          <w:sz w:val="20"/>
          <w:szCs w:val="20"/>
        </w:rPr>
      </w:pPr>
    </w:p>
    <w:p>
      <w:pPr>
        <w:spacing w:before="0" w:after="0"/>
        <w:ind w:left="900" w:hanging="720"/>
        <w:jc w:val="center"/>
        <w:rPr>
          <w:sz w:val="20"/>
          <w:szCs w:val="20"/>
        </w:rPr>
      </w:pPr>
    </w:p>
    <w:p>
      <w:pPr>
        <w:spacing w:before="0" w:after="0"/>
        <w:ind w:left="900" w:hanging="720"/>
        <w:jc w:val="center"/>
        <w:rPr>
          <w:sz w:val="20"/>
          <w:szCs w:val="20"/>
        </w:rPr>
      </w:pPr>
    </w:p>
    <w:p>
      <w:pPr>
        <w:spacing w:before="0" w:after="0"/>
        <w:ind w:left="900" w:hanging="720"/>
        <w:jc w:val="center"/>
        <w:rPr>
          <w:sz w:val="20"/>
          <w:szCs w:val="20"/>
        </w:rPr>
      </w:pPr>
    </w:p>
    <w:p>
      <w:pPr>
        <w:spacing w:before="0" w:after="0"/>
        <w:ind w:left="900" w:hanging="720"/>
        <w:jc w:val="center"/>
        <w:rPr>
          <w:sz w:val="20"/>
          <w:szCs w:val="20"/>
        </w:rPr>
      </w:pPr>
    </w:p>
    <w:p>
      <w:pPr>
        <w:spacing w:before="0" w:after="0"/>
        <w:ind w:left="900" w:hanging="720"/>
        <w:jc w:val="center"/>
        <w:rPr>
          <w:sz w:val="20"/>
          <w:szCs w:val="20"/>
        </w:rPr>
      </w:pPr>
      <w:r>
        <w:rPr>
          <w:rFonts w:ascii="Arial" w:eastAsia="Arial" w:hAnsi="Arial" w:cs="Arial"/>
          <w:b/>
          <w:bCs/>
          <w:sz w:val="20"/>
          <w:szCs w:val="20"/>
        </w:rPr>
        <w:t>CERTIFICATION</w:t>
      </w:r>
    </w:p>
    <w:p>
      <w:pPr>
        <w:spacing w:before="0" w:after="0"/>
        <w:ind w:left="900" w:hanging="720"/>
        <w:jc w:val="center"/>
        <w:rPr>
          <w:sz w:val="20"/>
          <w:szCs w:val="20"/>
        </w:rPr>
      </w:pPr>
    </w:p>
    <w:p>
      <w:pPr>
        <w:spacing w:before="0" w:after="0"/>
        <w:ind w:left="180"/>
        <w:jc w:val="both"/>
        <w:rPr>
          <w:sz w:val="20"/>
          <w:szCs w:val="20"/>
        </w:rPr>
      </w:pPr>
      <w:r>
        <w:rPr>
          <w:rFonts w:ascii="Arial" w:eastAsia="Arial" w:hAnsi="Arial" w:cs="Arial"/>
          <w:b/>
          <w:bCs/>
          <w:sz w:val="20"/>
          <w:szCs w:val="20"/>
        </w:rPr>
        <w:t>I, THE UNDERSIGNED (FULL NAME) ……………………………………………………………….CERTIFY THAT THE INFORMATION FURNISHED ON THIS DECLARATION FORM IS TRUE AND CORRECT.</w:t>
      </w:r>
    </w:p>
    <w:p>
      <w:pPr>
        <w:spacing w:before="0" w:after="0"/>
        <w:ind w:left="851" w:hanging="720"/>
        <w:jc w:val="both"/>
        <w:rPr>
          <w:sz w:val="20"/>
          <w:szCs w:val="20"/>
        </w:rPr>
      </w:pPr>
    </w:p>
    <w:p>
      <w:pPr>
        <w:tabs>
          <w:tab w:val="left" w:pos="180"/>
        </w:tabs>
        <w:spacing w:before="0" w:after="0"/>
        <w:ind w:left="180" w:hanging="49"/>
        <w:jc w:val="both"/>
        <w:rPr>
          <w:sz w:val="20"/>
          <w:szCs w:val="20"/>
        </w:rPr>
      </w:pPr>
      <w:r>
        <w:rPr>
          <w:sz w:val="20"/>
          <w:szCs w:val="20"/>
        </w:rPr>
        <w:tab/>
      </w:r>
      <w:r>
        <w:rPr>
          <w:rFonts w:ascii="Arial" w:eastAsia="Arial" w:hAnsi="Arial" w:cs="Arial"/>
          <w:b/>
          <w:bCs/>
          <w:sz w:val="20"/>
          <w:szCs w:val="20"/>
        </w:rPr>
        <w:t>I ACCEPT THAT, IN ADDITION TO CANCELLATION OF A CONTRACT, ACTION MAY BE TAKEN AGAINST ME SHOULD THIS DECLARATION PROVE TO BE FALSE.</w:t>
      </w:r>
    </w:p>
    <w:p>
      <w:pPr>
        <w:spacing w:before="0" w:after="0"/>
        <w:ind w:left="851" w:hanging="720"/>
        <w:jc w:val="both"/>
        <w:rPr>
          <w:sz w:val="20"/>
          <w:szCs w:val="20"/>
        </w:rPr>
      </w:pPr>
    </w:p>
    <w:p>
      <w:pPr>
        <w:spacing w:before="0" w:after="0"/>
        <w:ind w:left="851" w:hanging="720"/>
        <w:jc w:val="both"/>
        <w:rPr>
          <w:sz w:val="20"/>
          <w:szCs w:val="20"/>
        </w:rPr>
      </w:pPr>
    </w:p>
    <w:p>
      <w:pPr>
        <w:spacing w:before="0" w:after="0"/>
        <w:ind w:left="851" w:hanging="720"/>
        <w:jc w:val="both"/>
        <w:rPr>
          <w:sz w:val="20"/>
          <w:szCs w:val="20"/>
        </w:rPr>
      </w:pPr>
    </w:p>
    <w:p>
      <w:pPr>
        <w:spacing w:before="0" w:after="0"/>
        <w:ind w:left="851" w:hanging="720"/>
        <w:jc w:val="both"/>
        <w:rPr>
          <w:sz w:val="20"/>
          <w:szCs w:val="20"/>
        </w:rPr>
      </w:pPr>
    </w:p>
    <w:p>
      <w:pPr>
        <w:tabs>
          <w:tab w:val="left" w:pos="180"/>
        </w:tabs>
        <w:spacing w:before="0" w:after="0"/>
        <w:ind w:left="851" w:hanging="720"/>
        <w:jc w:val="both"/>
        <w:rPr>
          <w:sz w:val="20"/>
          <w:szCs w:val="20"/>
        </w:rPr>
      </w:pPr>
      <w:r>
        <w:rPr>
          <w:sz w:val="20"/>
          <w:szCs w:val="20"/>
        </w:rPr>
        <w:tab/>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w:t>
      </w:r>
    </w:p>
    <w:p>
      <w:pPr>
        <w:tabs>
          <w:tab w:val="left" w:pos="180"/>
        </w:tabs>
        <w:spacing w:before="0" w:after="0"/>
        <w:ind w:left="851" w:hanging="720"/>
        <w:jc w:val="both"/>
        <w:rPr>
          <w:sz w:val="20"/>
          <w:szCs w:val="20"/>
        </w:rPr>
      </w:pPr>
      <w:r>
        <w:rPr>
          <w:sz w:val="20"/>
          <w:szCs w:val="20"/>
        </w:rPr>
        <w:tab/>
      </w:r>
      <w:r>
        <w:rPr>
          <w:rFonts w:ascii="Arial" w:eastAsia="Arial" w:hAnsi="Arial" w:cs="Arial"/>
          <w:b/>
          <w:bCs/>
          <w:sz w:val="20"/>
          <w:szCs w:val="20"/>
        </w:rPr>
        <w:t xml:space="preserve">Signature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Date</w:t>
      </w:r>
    </w:p>
    <w:p>
      <w:pPr>
        <w:spacing w:before="0" w:after="0"/>
        <w:ind w:left="851" w:hanging="720"/>
        <w:jc w:val="both"/>
        <w:rPr>
          <w:sz w:val="20"/>
          <w:szCs w:val="20"/>
        </w:rPr>
      </w:pPr>
    </w:p>
    <w:p>
      <w:pPr>
        <w:spacing w:before="0" w:after="0"/>
        <w:ind w:left="851" w:hanging="720"/>
        <w:jc w:val="both"/>
        <w:rPr>
          <w:sz w:val="20"/>
          <w:szCs w:val="20"/>
        </w:rPr>
      </w:pPr>
    </w:p>
    <w:p>
      <w:pPr>
        <w:spacing w:before="0" w:after="0"/>
        <w:ind w:left="851" w:hanging="720"/>
        <w:jc w:val="both"/>
        <w:rPr>
          <w:sz w:val="20"/>
          <w:szCs w:val="20"/>
        </w:rPr>
      </w:pPr>
    </w:p>
    <w:p>
      <w:pPr>
        <w:tabs>
          <w:tab w:val="left" w:pos="180"/>
        </w:tabs>
        <w:spacing w:before="0" w:after="0"/>
        <w:ind w:left="851" w:hanging="720"/>
        <w:jc w:val="both"/>
        <w:rPr>
          <w:sz w:val="20"/>
          <w:szCs w:val="20"/>
        </w:rPr>
      </w:pPr>
      <w:r>
        <w:rPr>
          <w:sz w:val="20"/>
          <w:szCs w:val="20"/>
        </w:rPr>
        <w:tab/>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w:t>
      </w:r>
    </w:p>
    <w:p>
      <w:pPr>
        <w:tabs>
          <w:tab w:val="left" w:pos="180"/>
        </w:tabs>
        <w:spacing w:before="0" w:after="0"/>
        <w:ind w:left="851" w:hanging="720"/>
        <w:jc w:val="both"/>
        <w:rPr>
          <w:sz w:val="20"/>
          <w:szCs w:val="20"/>
        </w:rPr>
      </w:pPr>
      <w:r>
        <w:rPr>
          <w:sz w:val="20"/>
          <w:szCs w:val="20"/>
        </w:rPr>
        <w:tab/>
      </w:r>
      <w:r>
        <w:rPr>
          <w:rFonts w:ascii="Arial" w:eastAsia="Arial" w:hAnsi="Arial" w:cs="Arial"/>
          <w:b/>
          <w:bCs/>
          <w:sz w:val="20"/>
          <w:szCs w:val="20"/>
        </w:rPr>
        <w:t>Position</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Name of Bidder</w:t>
      </w:r>
    </w:p>
    <w:p>
      <w:pPr>
        <w:spacing w:before="0" w:after="0"/>
        <w:ind w:left="851" w:hanging="720"/>
        <w:jc w:val="both"/>
        <w:rPr>
          <w:sz w:val="20"/>
          <w:szCs w:val="20"/>
        </w:rPr>
      </w:pPr>
    </w:p>
    <w:p>
      <w:pPr>
        <w:spacing w:before="0" w:after="0"/>
        <w:ind w:left="851" w:hanging="720"/>
        <w:jc w:val="both"/>
        <w:rPr>
          <w:sz w:val="20"/>
          <w:szCs w:val="20"/>
        </w:rPr>
      </w:pPr>
    </w:p>
    <w:p>
      <w:pPr>
        <w:spacing w:before="0" w:after="0"/>
        <w:ind w:left="900" w:hanging="72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spacing w:before="0" w:after="0"/>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ectPr>
          <w:type w:val="nextPage"/>
          <w:pgSz w:w="11906" w:h="16838"/>
          <w:pgMar w:top="720" w:right="748" w:bottom="720" w:left="720" w:header="708" w:footer="708"/>
          <w:cols w:space="708"/>
        </w:sectPr>
      </w:pPr>
    </w:p>
    <w:p>
      <w:pPr>
        <w:spacing w:before="0" w:after="0"/>
        <w:jc w:val="both"/>
        <w:rPr>
          <w:sz w:val="20"/>
          <w:szCs w:val="20"/>
        </w:rPr>
      </w:pPr>
    </w:p>
    <w:p>
      <w:pPr>
        <w:tabs>
          <w:tab w:val="left" w:pos="900"/>
          <w:tab w:val="left" w:pos="2880"/>
          <w:tab w:val="left" w:pos="5760"/>
          <w:tab w:val="left" w:pos="7920"/>
        </w:tabs>
        <w:spacing w:before="0"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Arial" w:eastAsia="Arial" w:hAnsi="Arial" w:cs="Arial"/>
          <w:b/>
          <w:bCs/>
          <w:sz w:val="20"/>
          <w:szCs w:val="20"/>
        </w:rPr>
        <w:t>SBD 6.1</w:t>
      </w:r>
    </w:p>
    <w:p>
      <w:pPr>
        <w:widowControl w:val="0"/>
        <w:spacing w:before="0" w:after="0"/>
        <w:rPr>
          <w:sz w:val="20"/>
          <w:szCs w:val="20"/>
        </w:rPr>
      </w:pPr>
    </w:p>
    <w:p>
      <w:pPr>
        <w:widowControl w:val="0"/>
        <w:spacing w:before="0" w:after="0"/>
        <w:jc w:val="center"/>
        <w:rPr>
          <w:sz w:val="20"/>
          <w:szCs w:val="20"/>
        </w:rPr>
      </w:pPr>
    </w:p>
    <w:p>
      <w:pPr>
        <w:widowControl w:val="0"/>
        <w:spacing w:before="0" w:after="0"/>
        <w:jc w:val="center"/>
        <w:rPr>
          <w:sz w:val="20"/>
          <w:szCs w:val="20"/>
        </w:rPr>
      </w:pPr>
      <w:r>
        <w:rPr>
          <w:rFonts w:ascii="Arial" w:eastAsia="Arial" w:hAnsi="Arial" w:cs="Arial"/>
          <w:b/>
          <w:bCs/>
          <w:sz w:val="20"/>
          <w:szCs w:val="20"/>
        </w:rPr>
        <w:t>PREFERENCE POINTS CLAIM FORM IN TERMS OF THE PREFERENTIAL PROCUREMENT REGULATIONS 2017</w:t>
      </w:r>
    </w:p>
    <w:p>
      <w:pPr>
        <w:keepNext/>
        <w:widowControl w:val="0"/>
        <w:spacing w:before="0" w:after="0"/>
        <w:jc w:val="center"/>
        <w:rPr>
          <w:sz w:val="20"/>
          <w:szCs w:val="20"/>
        </w:rPr>
      </w:pPr>
    </w:p>
    <w:p>
      <w:pPr>
        <w:widowControl w:val="0"/>
        <w:spacing w:before="0" w:after="0"/>
        <w:jc w:val="center"/>
        <w:rPr>
          <w:sz w:val="20"/>
          <w:szCs w:val="20"/>
        </w:rPr>
      </w:pPr>
    </w:p>
    <w:p>
      <w:pPr>
        <w:widowControl w:val="0"/>
        <w:spacing w:before="0" w:after="0"/>
        <w:rPr>
          <w:sz w:val="20"/>
          <w:szCs w:val="20"/>
        </w:rPr>
      </w:pPr>
      <w:r>
        <w:rPr>
          <w:rFonts w:ascii="Arial" w:eastAsia="Arial" w:hAnsi="Arial" w:cs="Arial"/>
          <w:sz w:val="20"/>
          <w:szCs w:val="20"/>
        </w:rPr>
        <w:t>This preference form must form part of all bids invited.</w:t>
      </w:r>
      <w:r>
        <w:rPr>
          <w:rFonts w:ascii="Arial" w:eastAsia="Arial" w:hAnsi="Arial" w:cs="Arial"/>
          <w:sz w:val="20"/>
          <w:szCs w:val="20"/>
        </w:rPr>
        <w:t xml:space="preserve">  </w:t>
      </w:r>
      <w:r>
        <w:rPr>
          <w:rFonts w:ascii="Arial" w:eastAsia="Arial" w:hAnsi="Arial" w:cs="Arial"/>
          <w:sz w:val="20"/>
          <w:szCs w:val="20"/>
        </w:rPr>
        <w:t xml:space="preserve">It contains general information and serves as a claim form for preference points for Broad-Based Black Economic Empowerment (B-BBEE) Status Level of Contribution </w:t>
      </w:r>
    </w:p>
    <w:p>
      <w:pPr>
        <w:widowControl w:val="0"/>
        <w:spacing w:before="0" w:after="0"/>
        <w:rPr>
          <w:sz w:val="20"/>
          <w:szCs w:val="20"/>
        </w:rPr>
      </w:pPr>
    </w:p>
    <w:p>
      <w:pPr>
        <w:widowControl w:val="0"/>
        <w:tabs>
          <w:tab w:val="left" w:pos="900"/>
        </w:tabs>
        <w:spacing w:before="0" w:after="0"/>
        <w:ind w:left="900" w:hanging="900"/>
        <w:jc w:val="both"/>
        <w:rPr>
          <w:sz w:val="20"/>
          <w:szCs w:val="20"/>
        </w:rPr>
      </w:pPr>
      <w:r>
        <w:rPr>
          <w:rFonts w:ascii="Arial" w:eastAsia="Arial" w:hAnsi="Arial" w:cs="Arial"/>
          <w:b/>
          <w:bCs/>
          <w:sz w:val="20"/>
          <w:szCs w:val="20"/>
        </w:rPr>
        <w:t>NB:</w:t>
      </w:r>
      <w:r>
        <w:rPr>
          <w:rFonts w:ascii="Arial" w:eastAsia="Arial" w:hAnsi="Arial" w:cs="Arial"/>
          <w:b/>
          <w:bCs/>
          <w:sz w:val="20"/>
          <w:szCs w:val="20"/>
        </w:rPr>
        <w:tab/>
      </w:r>
      <w:r>
        <w:rPr>
          <w:rFonts w:ascii="Arial" w:eastAsia="Arial" w:hAnsi="Arial" w:cs="Arial"/>
          <w:b/>
          <w:bCs/>
          <w:sz w:val="20"/>
          <w:szCs w:val="20"/>
        </w:rPr>
        <w:t xml:space="preserve">BEFORE COMPLETING THIS FORM, BIDDERS MUST STUDY THE GENERAL CONDITIONS, DEFINITIONS AND DIRECTIVES APPLICABLE IN RESPECT OF B-BBEE, AS PRESCRIBED IN THE PREFERENTIAL PROCUREMENT REGULATIONS, 2017. </w:t>
      </w:r>
    </w:p>
    <w:p>
      <w:pPr>
        <w:widowControl w:val="0"/>
        <w:pBdr>
          <w:top w:val="none" w:sz="0" w:space="0" w:color="auto"/>
          <w:left w:val="none" w:sz="0" w:space="0" w:color="auto"/>
          <w:bottom w:val="single" w:sz="6" w:space="1" w:color="000000"/>
          <w:right w:val="none" w:sz="0" w:space="0" w:color="auto"/>
        </w:pBdr>
        <w:spacing w:before="0" w:after="0"/>
        <w:ind w:left="900" w:hanging="900"/>
        <w:jc w:val="both"/>
        <w:rPr>
          <w:sz w:val="20"/>
          <w:szCs w:val="20"/>
        </w:rPr>
      </w:pPr>
    </w:p>
    <w:p>
      <w:pPr>
        <w:widowControl w:val="0"/>
        <w:spacing w:before="0" w:after="0"/>
        <w:ind w:left="900" w:hanging="900"/>
        <w:jc w:val="both"/>
        <w:rPr>
          <w:sz w:val="20"/>
          <w:szCs w:val="20"/>
        </w:rPr>
      </w:pPr>
    </w:p>
    <w:p>
      <w:pPr>
        <w:widowControl w:val="0"/>
        <w:numPr>
          <w:ilvl w:val="0"/>
          <w:numId w:val="34"/>
        </w:numPr>
        <w:pBdr>
          <w:left w:val="none" w:sz="0" w:space="22" w:color="auto"/>
        </w:pBdr>
        <w:spacing w:before="0"/>
        <w:ind w:left="720" w:right="0" w:hanging="703"/>
        <w:jc w:val="both"/>
        <w:rPr>
          <w:rFonts w:ascii="Arial" w:eastAsia="Arial" w:hAnsi="Arial" w:cs="Arial"/>
          <w:b/>
          <w:bCs/>
          <w:sz w:val="20"/>
          <w:szCs w:val="20"/>
        </w:rPr>
      </w:pPr>
      <w:r>
        <w:rPr>
          <w:rFonts w:ascii="Arial" w:eastAsia="Arial" w:hAnsi="Arial" w:cs="Arial"/>
          <w:b/>
          <w:bCs/>
          <w:sz w:val="20"/>
          <w:szCs w:val="20"/>
        </w:rPr>
        <w:t>GENERAL CONDITIONS</w:t>
      </w:r>
    </w:p>
    <w:p>
      <w:pPr>
        <w:widowControl w:val="0"/>
        <w:numPr>
          <w:ilvl w:val="1"/>
          <w:numId w:val="34"/>
        </w:numPr>
        <w:spacing w:after="120"/>
        <w:ind w:left="250" w:right="0" w:hanging="250"/>
        <w:jc w:val="both"/>
        <w:rPr>
          <w:rFonts w:ascii="Arial" w:eastAsia="Arial" w:hAnsi="Arial" w:cs="Arial"/>
          <w:b w:val="0"/>
          <w:bCs w:val="0"/>
          <w:sz w:val="20"/>
          <w:szCs w:val="20"/>
        </w:rPr>
      </w:pPr>
      <w:r>
        <w:rPr>
          <w:rFonts w:ascii="Arial" w:eastAsia="Arial" w:hAnsi="Arial" w:cs="Arial"/>
          <w:b w:val="0"/>
          <w:bCs w:val="0"/>
          <w:sz w:val="20"/>
          <w:szCs w:val="20"/>
        </w:rPr>
        <w:t>The following preference point systems are applicable to all bids:</w:t>
      </w:r>
    </w:p>
    <w:p>
      <w:pPr>
        <w:widowControl w:val="0"/>
        <w:spacing w:before="0" w:after="0"/>
        <w:ind w:left="1350" w:hanging="450"/>
        <w:jc w:val="both"/>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80/20 system for requirements with a Rand value of up to R50 000 000 (all applicable taxes included); and </w:t>
      </w:r>
    </w:p>
    <w:p>
      <w:pPr>
        <w:widowControl w:val="0"/>
        <w:spacing w:before="0" w:after="0"/>
        <w:ind w:left="1350" w:hanging="450"/>
        <w:jc w:val="both"/>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90/10 system for requirements with a Rand value above R50 000 000 (all applicable taxes included).</w:t>
      </w:r>
    </w:p>
    <w:p>
      <w:pPr>
        <w:widowControl w:val="0"/>
        <w:spacing w:before="0" w:after="120"/>
        <w:ind w:left="993" w:hanging="993"/>
        <w:jc w:val="both"/>
        <w:rPr>
          <w:sz w:val="20"/>
          <w:szCs w:val="20"/>
        </w:rPr>
      </w:pPr>
      <w:r>
        <w:rPr>
          <w:rFonts w:ascii="Arial" w:eastAsia="Arial" w:hAnsi="Arial" w:cs="Arial"/>
          <w:sz w:val="20"/>
          <w:szCs w:val="20"/>
        </w:rPr>
        <w:t>1.2</w:t>
      </w:r>
      <w:r>
        <w:rPr>
          <w:rFonts w:ascii="Times New Roman" w:eastAsia="Times New Roman" w:hAnsi="Times New Roman" w:cs="Times New Roman"/>
          <w:b w:val="0"/>
          <w:bCs w:val="0"/>
          <w:i w:val="0"/>
          <w:iCs w:val="0"/>
          <w:smallCaps w:val="0"/>
          <w:sz w:val="14"/>
          <w:szCs w:val="14"/>
        </w:rPr>
        <w:t xml:space="preserve">                     </w:t>
      </w:r>
    </w:p>
    <w:p>
      <w:pPr>
        <w:widowControl w:val="0"/>
        <w:spacing w:before="0" w:after="120"/>
        <w:ind w:left="993" w:hanging="284"/>
        <w:jc w:val="both"/>
        <w:rPr>
          <w:sz w:val="20"/>
          <w:szCs w:val="20"/>
        </w:rPr>
      </w:pPr>
      <w:r>
        <w:rPr>
          <w:rFonts w:ascii="Arial" w:eastAsia="Arial" w:hAnsi="Arial" w:cs="Arial"/>
          <w:sz w:val="20"/>
          <w:szCs w:val="20"/>
        </w:rPr>
        <w:t xml:space="preserve">a) The value of this bid is estimated not to exceed </w:t>
      </w:r>
      <w:r>
        <w:rPr>
          <w:rFonts w:ascii="Arial" w:eastAsia="Arial" w:hAnsi="Arial" w:cs="Arial"/>
          <w:sz w:val="20"/>
          <w:szCs w:val="20"/>
        </w:rPr>
        <w:t>R50 000 000 (all applicable taxes included)</w:t>
      </w:r>
      <w:r>
        <w:rPr>
          <w:rFonts w:ascii="Arial" w:eastAsia="Arial" w:hAnsi="Arial" w:cs="Arial"/>
          <w:sz w:val="20"/>
          <w:szCs w:val="20"/>
        </w:rPr>
        <w:t xml:space="preserve"> and therefore the 80/20 preference point system shall be applicable.</w:t>
      </w:r>
    </w:p>
    <w:p>
      <w:pPr>
        <w:widowControl w:val="0"/>
        <w:spacing w:before="0" w:after="120"/>
        <w:jc w:val="both"/>
        <w:rPr>
          <w:sz w:val="20"/>
          <w:szCs w:val="20"/>
        </w:rPr>
      </w:pPr>
    </w:p>
    <w:p>
      <w:pPr>
        <w:widowControl w:val="0"/>
        <w:spacing w:before="0" w:after="120"/>
        <w:ind w:left="720" w:hanging="720"/>
        <w:jc w:val="both"/>
        <w:rPr>
          <w:sz w:val="20"/>
          <w:szCs w:val="20"/>
        </w:rPr>
      </w:pPr>
      <w:r>
        <w:rPr>
          <w:rFonts w:ascii="Arial" w:eastAsia="Arial" w:hAnsi="Arial" w:cs="Arial"/>
          <w:sz w:val="20"/>
          <w:szCs w:val="20"/>
        </w:rPr>
        <w:t>1.3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Points for this bid shall be awarded for: </w:t>
      </w:r>
    </w:p>
    <w:p>
      <w:pPr>
        <w:widowControl w:val="0"/>
        <w:spacing w:before="0" w:after="120"/>
        <w:ind w:left="1674" w:hanging="540"/>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Price; and</w:t>
      </w:r>
    </w:p>
    <w:p>
      <w:pPr>
        <w:widowControl w:val="0"/>
        <w:spacing w:before="0" w:after="120"/>
        <w:ind w:left="1674" w:hanging="54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B-BBEE Status Level of Contributor.</w:t>
      </w:r>
    </w:p>
    <w:p>
      <w:pPr>
        <w:widowControl w:val="0"/>
        <w:spacing w:before="0" w:after="120"/>
        <w:ind w:left="720" w:hanging="720"/>
        <w:jc w:val="both"/>
        <w:rPr>
          <w:sz w:val="20"/>
          <w:szCs w:val="20"/>
        </w:rPr>
      </w:pPr>
      <w:r>
        <w:rPr>
          <w:rFonts w:ascii="Arial" w:eastAsia="Arial" w:hAnsi="Arial" w:cs="Arial"/>
          <w:sz w:val="20"/>
          <w:szCs w:val="20"/>
        </w:rPr>
        <w:t>1.4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maximum points for this bid are allocated as follows:</w:t>
      </w:r>
    </w:p>
    <w:tbl>
      <w:tblPr>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5346"/>
        <w:gridCol w:w="2086"/>
      </w:tblGrid>
      <w:tr>
        <w:tblPrEx>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5130" w:type="dxa"/>
            <w:tcBorders>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120"/>
              <w:jc w:val="center"/>
              <w:rPr>
                <w:b w:val="0"/>
                <w:bCs w:val="0"/>
                <w:i w:val="0"/>
                <w:iCs w:val="0"/>
                <w:smallCaps w:val="0"/>
                <w:color w:val="000000"/>
                <w:sz w:val="20"/>
                <w:szCs w:val="20"/>
              </w:rPr>
            </w:pPr>
          </w:p>
        </w:tc>
        <w:tc>
          <w:tcPr>
            <w:tcW w:w="1800" w:type="dxa"/>
            <w:tcBorders>
              <w:left w:val="single" w:sz="6" w:space="0" w:color="000000"/>
              <w:bottom w:val="single" w:sz="6" w:space="0" w:color="000000"/>
            </w:tcBorders>
            <w:noWrap w:val="0"/>
            <w:tcMar>
              <w:top w:w="8" w:type="dxa"/>
              <w:left w:w="108" w:type="dxa"/>
              <w:bottom w:w="8" w:type="dxa"/>
              <w:right w:w="108" w:type="dxa"/>
            </w:tcMar>
            <w:vAlign w:val="bottom"/>
            <w:hideMark/>
          </w:tcPr>
          <w:p>
            <w:pPr>
              <w:widowControl w:val="0"/>
              <w:spacing w:before="0" w:after="12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POINTS</w:t>
            </w:r>
          </w:p>
        </w:tc>
      </w:tr>
      <w:tr>
        <w:tblPrEx>
          <w:tblInd w:w="944" w:type="dxa"/>
          <w:tblCellMar>
            <w:top w:w="0" w:type="dxa"/>
            <w:left w:w="0" w:type="dxa"/>
            <w:bottom w:w="0" w:type="dxa"/>
            <w:right w:w="0" w:type="dxa"/>
          </w:tblCellMar>
        </w:tblPrEx>
        <w:tc>
          <w:tcPr>
            <w:tcW w:w="513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120"/>
              <w:rPr>
                <w:b w:val="0"/>
                <w:bCs w:val="0"/>
                <w:i w:val="0"/>
                <w:iCs w:val="0"/>
                <w:smallCaps w:val="0"/>
                <w:color w:val="000000"/>
                <w:sz w:val="20"/>
                <w:szCs w:val="20"/>
              </w:rPr>
            </w:pPr>
            <w:r>
              <w:rPr>
                <w:rFonts w:ascii="Arial" w:eastAsia="Arial" w:hAnsi="Arial" w:cs="Arial"/>
                <w:b/>
                <w:bCs/>
                <w:i w:val="0"/>
                <w:iCs w:val="0"/>
                <w:smallCaps w:val="0"/>
                <w:color w:val="000000"/>
                <w:sz w:val="20"/>
                <w:szCs w:val="20"/>
              </w:rPr>
              <w:t>PRICE</w:t>
            </w:r>
          </w:p>
        </w:tc>
        <w:tc>
          <w:tcPr>
            <w:tcW w:w="180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12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80</w:t>
            </w:r>
          </w:p>
        </w:tc>
      </w:tr>
      <w:tr>
        <w:tblPrEx>
          <w:tblInd w:w="944" w:type="dxa"/>
          <w:tblCellMar>
            <w:top w:w="0" w:type="dxa"/>
            <w:left w:w="0" w:type="dxa"/>
            <w:bottom w:w="0" w:type="dxa"/>
            <w:right w:w="0" w:type="dxa"/>
          </w:tblCellMar>
        </w:tblPrEx>
        <w:tc>
          <w:tcPr>
            <w:tcW w:w="513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120"/>
              <w:rPr>
                <w:b w:val="0"/>
                <w:bCs w:val="0"/>
                <w:i w:val="0"/>
                <w:iCs w:val="0"/>
                <w:smallCaps w:val="0"/>
                <w:color w:val="000000"/>
                <w:sz w:val="20"/>
                <w:szCs w:val="20"/>
              </w:rPr>
            </w:pPr>
            <w:r>
              <w:rPr>
                <w:rFonts w:ascii="Arial" w:eastAsia="Arial" w:hAnsi="Arial" w:cs="Arial"/>
                <w:b/>
                <w:bCs/>
                <w:i w:val="0"/>
                <w:iCs w:val="0"/>
                <w:smallCaps w:val="0"/>
                <w:color w:val="000000"/>
                <w:sz w:val="20"/>
                <w:szCs w:val="20"/>
              </w:rPr>
              <w:t>B-BBEE STATUS LEVEL OF CONTRIBUTOR</w:t>
            </w:r>
          </w:p>
        </w:tc>
        <w:tc>
          <w:tcPr>
            <w:tcW w:w="180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12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r>
        <w:tblPrEx>
          <w:tblInd w:w="944" w:type="dxa"/>
          <w:tblCellMar>
            <w:top w:w="0" w:type="dxa"/>
            <w:left w:w="0" w:type="dxa"/>
            <w:bottom w:w="0" w:type="dxa"/>
            <w:right w:w="0" w:type="dxa"/>
          </w:tblCellMar>
        </w:tblPrEx>
        <w:tc>
          <w:tcPr>
            <w:tcW w:w="5130" w:type="dxa"/>
            <w:tcBorders>
              <w:top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120"/>
              <w:rPr>
                <w:b w:val="0"/>
                <w:bCs w:val="0"/>
                <w:i w:val="0"/>
                <w:iCs w:val="0"/>
                <w:smallCaps w:val="0"/>
                <w:color w:val="000000"/>
                <w:sz w:val="20"/>
                <w:szCs w:val="20"/>
              </w:rPr>
            </w:pPr>
            <w:r>
              <w:rPr>
                <w:rFonts w:ascii="Arial" w:eastAsia="Arial" w:hAnsi="Arial" w:cs="Arial"/>
                <w:b/>
                <w:bCs/>
                <w:i w:val="0"/>
                <w:iCs w:val="0"/>
                <w:smallCaps w:val="0"/>
                <w:color w:val="000000"/>
                <w:sz w:val="20"/>
                <w:szCs w:val="20"/>
              </w:rPr>
              <w:t>Total points for Price and B-BBEE must not exceed</w:t>
            </w:r>
          </w:p>
        </w:tc>
        <w:tc>
          <w:tcPr>
            <w:tcW w:w="1800" w:type="dxa"/>
            <w:tcBorders>
              <w:top w:val="single" w:sz="6" w:space="0" w:color="000000"/>
              <w:left w:val="single" w:sz="6" w:space="0" w:color="000000"/>
            </w:tcBorders>
            <w:noWrap w:val="0"/>
            <w:tcMar>
              <w:top w:w="8" w:type="dxa"/>
              <w:left w:w="108" w:type="dxa"/>
              <w:bottom w:w="8" w:type="dxa"/>
              <w:right w:w="108" w:type="dxa"/>
            </w:tcMar>
            <w:vAlign w:val="top"/>
            <w:hideMark/>
          </w:tcPr>
          <w:p>
            <w:pPr>
              <w:widowControl w:val="0"/>
              <w:spacing w:before="0" w:after="12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100</w:t>
            </w:r>
          </w:p>
        </w:tc>
      </w:tr>
    </w:tbl>
    <w:p>
      <w:pPr>
        <w:widowControl w:val="0"/>
        <w:spacing w:before="0" w:after="120"/>
        <w:ind w:left="720"/>
        <w:jc w:val="both"/>
        <w:rPr>
          <w:sz w:val="20"/>
          <w:szCs w:val="20"/>
        </w:rPr>
      </w:pPr>
    </w:p>
    <w:p>
      <w:pPr>
        <w:widowControl w:val="0"/>
        <w:spacing w:before="0" w:after="120"/>
        <w:ind w:left="720" w:hanging="720"/>
        <w:jc w:val="both"/>
        <w:rPr>
          <w:sz w:val="20"/>
          <w:szCs w:val="20"/>
        </w:rPr>
      </w:pPr>
      <w:r>
        <w:rPr>
          <w:rFonts w:ascii="Arial" w:eastAsia="Arial" w:hAnsi="Arial" w:cs="Arial"/>
          <w:sz w:val="20"/>
          <w:szCs w:val="20"/>
        </w:rPr>
        <w:t>1.5</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Failure on the part of a bidder to submit proof of B-BBEE Status level of contributor together with the bid, will be interpreted to mean that preference points for B-BBEE status level of contribution are not claimed.</w:t>
      </w:r>
    </w:p>
    <w:p>
      <w:pPr>
        <w:widowControl w:val="0"/>
        <w:spacing w:before="0" w:after="120"/>
        <w:ind w:left="720" w:hanging="720"/>
        <w:jc w:val="both"/>
        <w:rPr>
          <w:sz w:val="20"/>
          <w:szCs w:val="20"/>
        </w:rPr>
      </w:pPr>
      <w:r>
        <w:rPr>
          <w:rFonts w:ascii="Arial" w:eastAsia="Arial" w:hAnsi="Arial" w:cs="Arial"/>
          <w:sz w:val="20"/>
          <w:szCs w:val="20"/>
        </w:rPr>
        <w:t>1.6</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purchaser reserves the right to require of a bidder, either before a bid is adjudicated or at any time subsequently, to substantiate any claim in regard to preferences, in any manner required by the purchaser.</w:t>
      </w:r>
    </w:p>
    <w:p>
      <w:pPr>
        <w:widowControl w:val="0"/>
        <w:spacing w:before="0" w:after="120"/>
        <w:jc w:val="both"/>
        <w:rPr>
          <w:sz w:val="20"/>
          <w:szCs w:val="20"/>
        </w:rPr>
      </w:pPr>
    </w:p>
    <w:p>
      <w:pPr>
        <w:widowControl w:val="0"/>
        <w:numPr>
          <w:ilvl w:val="0"/>
          <w:numId w:val="35"/>
        </w:numPr>
        <w:pBdr>
          <w:left w:val="none" w:sz="0" w:space="22" w:color="auto"/>
        </w:pBdr>
        <w:spacing w:before="0" w:after="120"/>
        <w:ind w:left="720" w:right="0" w:hanging="703"/>
        <w:jc w:val="both"/>
        <w:rPr>
          <w:rFonts w:ascii="Arial" w:eastAsia="Arial" w:hAnsi="Arial" w:cs="Arial"/>
          <w:b/>
          <w:bCs/>
          <w:sz w:val="20"/>
          <w:szCs w:val="20"/>
        </w:rPr>
      </w:pPr>
      <w:r>
        <w:rPr>
          <w:rFonts w:ascii="Arial" w:eastAsia="Arial" w:hAnsi="Arial" w:cs="Arial"/>
          <w:b/>
          <w:bCs/>
          <w:sz w:val="20"/>
          <w:szCs w:val="20"/>
        </w:rPr>
        <w:t>DEFINITIONS</w:t>
      </w:r>
    </w:p>
    <w:p>
      <w:pPr>
        <w:widowControl w:val="0"/>
        <w:spacing w:before="0" w:after="120"/>
        <w:ind w:left="1080" w:hanging="540"/>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“B-BBEE”</w:t>
      </w:r>
      <w:r>
        <w:rPr>
          <w:rFonts w:ascii="Arial" w:eastAsia="Arial" w:hAnsi="Arial" w:cs="Arial"/>
          <w:sz w:val="20"/>
          <w:szCs w:val="20"/>
        </w:rPr>
        <w:t xml:space="preserve"> means broad-based black economic empowerment as defined in section 1 of the Broad-Based Black Economic Empowerment Act;</w:t>
      </w:r>
    </w:p>
    <w:p>
      <w:pPr>
        <w:widowControl w:val="0"/>
        <w:spacing w:before="0" w:after="120"/>
        <w:ind w:left="1080" w:hanging="54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w:t>
      </w:r>
      <w:r>
        <w:rPr>
          <w:rFonts w:ascii="Arial" w:eastAsia="Arial" w:hAnsi="Arial" w:cs="Arial"/>
          <w:b/>
          <w:bCs/>
          <w:sz w:val="20"/>
          <w:szCs w:val="20"/>
        </w:rPr>
        <w:t xml:space="preserve">B-BBEE status level of contributor” </w:t>
      </w:r>
      <w:r>
        <w:rPr>
          <w:rFonts w:ascii="Arial" w:eastAsia="Arial" w:hAnsi="Arial" w:cs="Arial"/>
          <w:sz w:val="20"/>
          <w:szCs w:val="20"/>
        </w:rPr>
        <w:t>means the B-BBEE status of an entity in terms of a code of good practice on black economic empowerment, issued in terms of section 9(1) of the Broad-Based Black Economic Empowerment Act;</w:t>
      </w:r>
    </w:p>
    <w:p>
      <w:pPr>
        <w:widowControl w:val="0"/>
        <w:spacing w:before="0" w:after="120"/>
        <w:ind w:left="1080" w:hanging="540"/>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“bid”</w:t>
      </w:r>
      <w:r>
        <w:rPr>
          <w:rFonts w:ascii="Arial" w:eastAsia="Arial" w:hAnsi="Arial" w:cs="Arial"/>
          <w:sz w:val="20"/>
          <w:szCs w:val="20"/>
        </w:rPr>
        <w:t xml:space="preserve"> means a written offer in a prescribed or stipulated form in response to an invitation by an organ of state for the provision of goods or services, through price quotations, advertised competitive bidding processes or proposals; </w:t>
      </w:r>
    </w:p>
    <w:p>
      <w:pPr>
        <w:widowControl w:val="0"/>
        <w:spacing w:before="0" w:after="120"/>
        <w:ind w:left="1080" w:hanging="540"/>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“Broad-Based Black Economic Empowerment Act”</w:t>
      </w:r>
      <w:r>
        <w:rPr>
          <w:rFonts w:ascii="Arial" w:eastAsia="Arial" w:hAnsi="Arial" w:cs="Arial"/>
          <w:sz w:val="20"/>
          <w:szCs w:val="20"/>
        </w:rPr>
        <w:t xml:space="preserve"> means the Broad-Based Black Economic Empowerment Act, 2003 (Act No. 53 of 2003);</w:t>
      </w:r>
    </w:p>
    <w:p>
      <w:pPr>
        <w:widowControl w:val="0"/>
        <w:spacing w:before="0" w:after="120"/>
        <w:ind w:left="1080" w:hanging="540"/>
        <w:jc w:val="both"/>
        <w:rPr>
          <w:sz w:val="20"/>
          <w:szCs w:val="20"/>
        </w:rPr>
      </w:pPr>
      <w:r>
        <w:rPr>
          <w:rFonts w:ascii="Arial" w:eastAsia="Arial" w:hAnsi="Arial" w:cs="Arial"/>
          <w:b/>
          <w:bCs/>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 “EME” </w:t>
      </w:r>
      <w:r>
        <w:rPr>
          <w:rFonts w:ascii="Arial" w:eastAsia="Arial" w:hAnsi="Arial" w:cs="Arial"/>
          <w:sz w:val="20"/>
          <w:szCs w:val="20"/>
        </w:rPr>
        <w:t>means an Exempted Micro Enterprise in terms of a code of good practice</w:t>
      </w:r>
      <w:r>
        <w:rPr>
          <w:rFonts w:ascii="Arial" w:eastAsia="Arial" w:hAnsi="Arial" w:cs="Arial"/>
          <w:sz w:val="20"/>
          <w:szCs w:val="20"/>
        </w:rPr>
        <w:t xml:space="preserve">  </w:t>
      </w:r>
      <w:r>
        <w:rPr>
          <w:rFonts w:ascii="Arial" w:eastAsia="Arial" w:hAnsi="Arial" w:cs="Arial"/>
          <w:sz w:val="20"/>
          <w:szCs w:val="20"/>
        </w:rPr>
        <w:t>on black economic empowerment issued in terms of section 9 (1) of the Broad-Based Black Economic Empowerment Act;</w:t>
      </w:r>
    </w:p>
    <w:p>
      <w:pPr>
        <w:widowControl w:val="0"/>
        <w:spacing w:before="0" w:after="120"/>
        <w:ind w:left="1080" w:hanging="540"/>
        <w:jc w:val="both"/>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 “functionality” </w:t>
      </w:r>
      <w:r>
        <w:rPr>
          <w:rFonts w:ascii="Arial" w:eastAsia="Arial" w:hAnsi="Arial" w:cs="Arial"/>
          <w:sz w:val="20"/>
          <w:szCs w:val="20"/>
        </w:rPr>
        <w:t>means the ability of a tenderer to provide goods or services in accordance with specifications as set out in the tender documents.</w:t>
      </w:r>
    </w:p>
    <w:p>
      <w:pPr>
        <w:widowControl w:val="0"/>
        <w:spacing w:before="0" w:after="120"/>
        <w:ind w:left="1080" w:hanging="540"/>
        <w:jc w:val="both"/>
        <w:rPr>
          <w:sz w:val="20"/>
          <w:szCs w:val="20"/>
        </w:rPr>
      </w:pPr>
      <w:r>
        <w:rPr>
          <w:rFonts w:ascii="Arial" w:eastAsia="Arial" w:hAnsi="Arial" w:cs="Arial"/>
          <w:sz w:val="20"/>
          <w:szCs w:val="20"/>
        </w:rPr>
        <w:t>(g)</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 “prices” </w:t>
      </w:r>
      <w:r>
        <w:rPr>
          <w:rFonts w:ascii="Arial" w:eastAsia="Arial" w:hAnsi="Arial" w:cs="Arial"/>
          <w:sz w:val="20"/>
          <w:szCs w:val="20"/>
        </w:rPr>
        <w:t>includes all applicable taxes less all unconditional discounts;</w:t>
      </w:r>
      <w:r>
        <w:rPr>
          <w:rFonts w:ascii="Arial" w:eastAsia="Arial" w:hAnsi="Arial" w:cs="Arial"/>
          <w:sz w:val="20"/>
          <w:szCs w:val="20"/>
        </w:rPr>
        <w:t xml:space="preserve">  </w:t>
      </w:r>
    </w:p>
    <w:p>
      <w:pPr>
        <w:widowControl w:val="0"/>
        <w:spacing w:before="0" w:after="120"/>
        <w:ind w:left="1080" w:hanging="540"/>
        <w:jc w:val="both"/>
        <w:rPr>
          <w:sz w:val="20"/>
          <w:szCs w:val="20"/>
        </w:rPr>
      </w:pPr>
      <w:r>
        <w:rPr>
          <w:rFonts w:ascii="Arial" w:eastAsia="Arial" w:hAnsi="Arial" w:cs="Arial"/>
          <w:sz w:val="20"/>
          <w:szCs w:val="20"/>
        </w:rPr>
        <w:t>(h)</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“proof of B-BBEE status level of contributor” </w:t>
      </w:r>
      <w:r>
        <w:rPr>
          <w:rFonts w:ascii="Arial" w:eastAsia="Arial" w:hAnsi="Arial" w:cs="Arial"/>
          <w:sz w:val="20"/>
          <w:szCs w:val="20"/>
        </w:rPr>
        <w:t>means:</w:t>
      </w:r>
    </w:p>
    <w:p>
      <w:pPr>
        <w:widowControl w:val="0"/>
        <w:spacing w:before="0" w:after="120"/>
        <w:ind w:left="1800" w:hanging="360"/>
        <w:jc w:val="both"/>
        <w:rPr>
          <w:sz w:val="20"/>
          <w:szCs w:val="20"/>
        </w:rPr>
      </w:pPr>
      <w:r>
        <w:rPr>
          <w:rFonts w:ascii="Arial" w:eastAsia="Arial" w:hAnsi="Arial" w:cs="Arial"/>
          <w:b/>
          <w:bCs/>
          <w:sz w:val="20"/>
          <w:szCs w:val="20"/>
        </w:rPr>
        <w:t>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B-BBEE Status level certificate issued by an authorized body or person;</w:t>
      </w:r>
    </w:p>
    <w:p>
      <w:pPr>
        <w:widowControl w:val="0"/>
        <w:spacing w:before="0" w:after="120"/>
        <w:ind w:left="1800" w:hanging="360"/>
        <w:jc w:val="both"/>
        <w:rPr>
          <w:sz w:val="20"/>
          <w:szCs w:val="20"/>
        </w:rPr>
      </w:pPr>
      <w:r>
        <w:rPr>
          <w:rFonts w:ascii="Arial" w:eastAsia="Arial" w:hAnsi="Arial" w:cs="Arial"/>
          <w:b/>
          <w:bCs/>
          <w:sz w:val="20"/>
          <w:szCs w:val="20"/>
        </w:rPr>
        <w:t>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 sworn affidavit as prescribed by the B-BBEE Codes of Good Practice;</w:t>
      </w:r>
    </w:p>
    <w:p>
      <w:pPr>
        <w:widowControl w:val="0"/>
        <w:spacing w:before="0" w:after="120"/>
        <w:ind w:left="1800" w:hanging="360"/>
        <w:jc w:val="both"/>
        <w:rPr>
          <w:sz w:val="20"/>
          <w:szCs w:val="20"/>
        </w:rPr>
      </w:pPr>
      <w:r>
        <w:rPr>
          <w:rFonts w:ascii="Arial" w:eastAsia="Arial" w:hAnsi="Arial" w:cs="Arial"/>
          <w:b/>
          <w:bCs/>
          <w:sz w:val="20"/>
          <w:szCs w:val="20"/>
        </w:rPr>
        <w:t>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other requirement prescribed in terms of the B-BBEE Act;</w:t>
      </w:r>
    </w:p>
    <w:p>
      <w:pPr>
        <w:widowControl w:val="0"/>
        <w:spacing w:before="0" w:after="0"/>
        <w:ind w:left="1134" w:hanging="425"/>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“QSE”</w:t>
      </w:r>
      <w:r>
        <w:rPr>
          <w:rFonts w:ascii="Arial" w:eastAsia="Arial" w:hAnsi="Arial" w:cs="Arial"/>
          <w:sz w:val="20"/>
          <w:szCs w:val="20"/>
        </w:rPr>
        <w:t xml:space="preserve"> means a qualifying small business enterprise in terms of a code of good practice</w:t>
      </w:r>
      <w:r>
        <w:rPr>
          <w:rFonts w:ascii="Arial" w:eastAsia="Arial" w:hAnsi="Arial" w:cs="Arial"/>
          <w:sz w:val="20"/>
          <w:szCs w:val="20"/>
        </w:rPr>
        <w:t xml:space="preserve">  </w:t>
      </w:r>
      <w:r>
        <w:rPr>
          <w:rFonts w:ascii="Arial" w:eastAsia="Arial" w:hAnsi="Arial" w:cs="Arial"/>
          <w:sz w:val="20"/>
          <w:szCs w:val="20"/>
        </w:rPr>
        <w:t>on black economic empowerment issued in terms of section 9 (1) of the Broad-Based Black Economic Empowerment Act;</w:t>
      </w:r>
    </w:p>
    <w:p>
      <w:pPr>
        <w:widowControl w:val="0"/>
        <w:spacing w:before="0" w:after="0"/>
        <w:ind w:left="1134"/>
        <w:rPr>
          <w:sz w:val="20"/>
          <w:szCs w:val="20"/>
        </w:rPr>
      </w:pPr>
    </w:p>
    <w:p>
      <w:pPr>
        <w:widowControl w:val="0"/>
        <w:spacing w:before="0" w:after="120"/>
        <w:ind w:left="1080" w:hanging="540"/>
        <w:jc w:val="both"/>
        <w:rPr>
          <w:sz w:val="20"/>
          <w:szCs w:val="20"/>
        </w:rPr>
      </w:pPr>
      <w:r>
        <w:rPr>
          <w:rFonts w:ascii="Arial" w:eastAsia="Arial" w:hAnsi="Arial" w:cs="Arial"/>
          <w:i/>
          <w:iCs/>
          <w:sz w:val="20"/>
          <w:szCs w:val="20"/>
        </w:rPr>
        <w:t>(j)</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“rand value”</w:t>
      </w:r>
      <w:r>
        <w:rPr>
          <w:rFonts w:ascii="Arial" w:eastAsia="Arial" w:hAnsi="Arial" w:cs="Arial"/>
          <w:sz w:val="20"/>
          <w:szCs w:val="20"/>
        </w:rPr>
        <w:t xml:space="preserve"> means the total estimated value of a contract in Rand, calculated at the time of bid invitation, and includes all applicable taxes; </w:t>
      </w:r>
    </w:p>
    <w:p>
      <w:pPr>
        <w:widowControl w:val="0"/>
        <w:spacing w:before="0" w:after="120"/>
        <w:ind w:left="1080"/>
        <w:jc w:val="both"/>
        <w:rPr>
          <w:sz w:val="20"/>
          <w:szCs w:val="20"/>
        </w:rPr>
      </w:pPr>
    </w:p>
    <w:p>
      <w:pPr>
        <w:widowControl w:val="0"/>
        <w:numPr>
          <w:ilvl w:val="0"/>
          <w:numId w:val="36"/>
        </w:numPr>
        <w:pBdr>
          <w:left w:val="none" w:sz="0" w:space="31" w:color="auto"/>
        </w:pBdr>
        <w:spacing w:before="0"/>
        <w:ind w:left="900" w:right="0" w:hanging="883"/>
        <w:jc w:val="both"/>
        <w:rPr>
          <w:rFonts w:ascii="Arial" w:eastAsia="Arial" w:hAnsi="Arial" w:cs="Arial"/>
          <w:b/>
          <w:bCs/>
          <w:sz w:val="20"/>
          <w:szCs w:val="20"/>
        </w:rPr>
      </w:pPr>
      <w:r>
        <w:rPr>
          <w:rFonts w:ascii="Arial" w:eastAsia="Arial" w:hAnsi="Arial" w:cs="Arial"/>
          <w:b/>
          <w:bCs/>
          <w:sz w:val="20"/>
          <w:szCs w:val="20"/>
        </w:rPr>
        <w:t>POINTS AWARDED FOR PRICE</w:t>
      </w:r>
    </w:p>
    <w:p>
      <w:pPr>
        <w:widowControl w:val="0"/>
        <w:numPr>
          <w:ilvl w:val="1"/>
          <w:numId w:val="36"/>
        </w:numPr>
        <w:spacing w:after="120"/>
        <w:ind w:left="250" w:right="0" w:hanging="250"/>
        <w:jc w:val="both"/>
        <w:rPr>
          <w:rFonts w:ascii="Arial" w:eastAsia="Arial" w:hAnsi="Arial" w:cs="Arial"/>
          <w:b/>
          <w:bCs/>
          <w:sz w:val="20"/>
          <w:szCs w:val="20"/>
        </w:rPr>
      </w:pPr>
      <w:r>
        <w:rPr>
          <w:rFonts w:ascii="Arial" w:eastAsia="Arial" w:hAnsi="Arial" w:cs="Arial"/>
          <w:b/>
          <w:bCs/>
          <w:sz w:val="20"/>
          <w:szCs w:val="20"/>
        </w:rPr>
        <w:t xml:space="preserve">THE 80/20 PREFERENCE POINT SYSTEMS </w:t>
      </w:r>
    </w:p>
    <w:p>
      <w:pPr>
        <w:widowControl w:val="0"/>
        <w:tabs>
          <w:tab w:val="left" w:pos="900"/>
        </w:tabs>
        <w:spacing w:before="0" w:after="0"/>
        <w:ind w:left="900" w:hanging="900"/>
        <w:jc w:val="both"/>
        <w:rPr>
          <w:sz w:val="20"/>
          <w:szCs w:val="20"/>
        </w:rPr>
      </w:pPr>
      <w:r>
        <w:rPr>
          <w:sz w:val="20"/>
          <w:szCs w:val="20"/>
        </w:rPr>
        <w:tab/>
      </w:r>
      <w:r>
        <w:rPr>
          <w:rFonts w:ascii="Arial" w:eastAsia="Arial" w:hAnsi="Arial" w:cs="Arial"/>
          <w:sz w:val="20"/>
          <w:szCs w:val="20"/>
        </w:rPr>
        <w:t>A maximum of 80 points is allocated for price on the following basis:</w:t>
      </w:r>
    </w:p>
    <w:p>
      <w:pPr>
        <w:widowControl w:val="0"/>
        <w:tabs>
          <w:tab w:val="left" w:pos="900"/>
          <w:tab w:val="left" w:pos="2160"/>
          <w:tab w:val="left" w:pos="4050"/>
        </w:tabs>
        <w:spacing w:before="0" w:after="0"/>
        <w:jc w:val="both"/>
        <w:rPr>
          <w:sz w:val="20"/>
          <w:szCs w:val="20"/>
        </w:rPr>
      </w:pPr>
      <w:r>
        <w:rPr>
          <w:sz w:val="20"/>
          <w:szCs w:val="20"/>
        </w:rPr>
        <w:tab/>
      </w:r>
      <w:r>
        <w:rPr>
          <w:sz w:val="20"/>
          <w:szCs w:val="20"/>
        </w:rPr>
        <w:tab/>
      </w:r>
      <w:r>
        <w:rPr>
          <w:rFonts w:ascii="Arial" w:eastAsia="Arial" w:hAnsi="Arial" w:cs="Arial"/>
          <w:b/>
          <w:bCs/>
          <w:sz w:val="20"/>
          <w:szCs w:val="20"/>
        </w:rPr>
        <w:t>80/20</w:t>
      </w:r>
      <w:r>
        <w:rPr>
          <w:rFonts w:ascii="Arial" w:eastAsia="Arial" w:hAnsi="Arial" w:cs="Arial"/>
          <w:b/>
          <w:bCs/>
          <w:sz w:val="20"/>
          <w:szCs w:val="20"/>
        </w:rPr>
        <w:tab/>
      </w:r>
    </w:p>
    <w:p>
      <w:pPr>
        <w:widowControl w:val="0"/>
        <w:spacing w:before="0" w:after="0"/>
        <w:ind w:left="900" w:hanging="900"/>
        <w:jc w:val="both"/>
        <w:rPr>
          <w:sz w:val="20"/>
          <w:szCs w:val="20"/>
        </w:rPr>
      </w:pPr>
    </w:p>
    <w:p>
      <w:pPr>
        <w:widowControl w:val="0"/>
        <w:tabs>
          <w:tab w:val="left" w:pos="900"/>
          <w:tab w:val="left" w:pos="1440"/>
        </w:tabs>
        <w:spacing w:before="0" w:after="0"/>
        <w:ind w:left="900" w:hanging="900"/>
        <w:jc w:val="both"/>
        <w:rPr>
          <w:sz w:val="20"/>
          <w:szCs w:val="20"/>
        </w:rPr>
      </w:pPr>
      <w:r>
        <w:rPr>
          <w:sz w:val="20"/>
          <w:szCs w:val="20"/>
        </w:rPr>
        <w:tab/>
      </w:r>
      <w:r>
        <w:rPr>
          <w:strike w:val="0"/>
          <w:sz w:val="20"/>
          <w:szCs w:val="20"/>
          <w:u w:val="none"/>
        </w:rPr>
        <w:drawing>
          <wp:inline>
            <wp:extent cx="1533525" cy="43815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11"/>
                    <a:stretch>
                      <a:fillRect/>
                    </a:stretch>
                  </pic:blipFill>
                  <pic:spPr>
                    <a:xfrm>
                      <a:off x="0" y="0"/>
                      <a:ext cx="1533525" cy="438150"/>
                    </a:xfrm>
                    <a:prstGeom prst="rect">
                      <a:avLst/>
                    </a:prstGeom>
                  </pic:spPr>
                </pic:pic>
              </a:graphicData>
            </a:graphic>
          </wp:inline>
        </w:drawing>
      </w:r>
      <w:r>
        <w:rPr>
          <w:strike w:val="0"/>
          <w:sz w:val="20"/>
          <w:szCs w:val="20"/>
          <w:u w:val="none"/>
        </w:rPr>
        <w:tab/>
      </w:r>
    </w:p>
    <w:p>
      <w:pPr>
        <w:widowControl w:val="0"/>
        <w:tabs>
          <w:tab w:val="left" w:pos="900"/>
        </w:tabs>
        <w:spacing w:before="0" w:after="120"/>
        <w:jc w:val="both"/>
        <w:rPr>
          <w:sz w:val="20"/>
          <w:szCs w:val="20"/>
        </w:rPr>
      </w:pPr>
      <w:r>
        <w:rPr>
          <w:sz w:val="20"/>
          <w:szCs w:val="20"/>
        </w:rPr>
        <w:tab/>
      </w:r>
      <w:r>
        <w:rPr>
          <w:rFonts w:ascii="Arial" w:eastAsia="Arial" w:hAnsi="Arial" w:cs="Arial"/>
          <w:sz w:val="20"/>
          <w:szCs w:val="20"/>
        </w:rPr>
        <w:t>Where</w:t>
      </w:r>
    </w:p>
    <w:p>
      <w:pPr>
        <w:widowControl w:val="0"/>
        <w:tabs>
          <w:tab w:val="left" w:pos="900"/>
          <w:tab w:val="left" w:pos="1620"/>
          <w:tab w:val="left" w:pos="2160"/>
        </w:tabs>
        <w:spacing w:before="0" w:after="120"/>
        <w:jc w:val="both"/>
        <w:rPr>
          <w:sz w:val="20"/>
          <w:szCs w:val="20"/>
        </w:rPr>
      </w:pPr>
      <w:r>
        <w:rPr>
          <w:sz w:val="20"/>
          <w:szCs w:val="20"/>
        </w:rPr>
        <w:tab/>
      </w:r>
      <w:r>
        <w:rPr>
          <w:rFonts w:ascii="Arial" w:eastAsia="Arial" w:hAnsi="Arial" w:cs="Arial"/>
          <w:sz w:val="20"/>
          <w:szCs w:val="20"/>
        </w:rPr>
        <w:t>Ps</w:t>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Points scored for price of bid under consideration</w:t>
      </w:r>
    </w:p>
    <w:p>
      <w:pPr>
        <w:widowControl w:val="0"/>
        <w:tabs>
          <w:tab w:val="left" w:pos="900"/>
          <w:tab w:val="left" w:pos="1620"/>
          <w:tab w:val="left" w:pos="2160"/>
        </w:tabs>
        <w:spacing w:before="0" w:after="120"/>
        <w:jc w:val="both"/>
        <w:rPr>
          <w:sz w:val="20"/>
          <w:szCs w:val="20"/>
        </w:rPr>
      </w:pPr>
      <w:r>
        <w:rPr>
          <w:sz w:val="20"/>
          <w:szCs w:val="20"/>
        </w:rPr>
        <w:tab/>
      </w:r>
      <w:r>
        <w:rPr>
          <w:rFonts w:ascii="Arial" w:eastAsia="Arial" w:hAnsi="Arial" w:cs="Arial"/>
          <w:sz w:val="20"/>
          <w:szCs w:val="20"/>
        </w:rPr>
        <w:t>Pt</w:t>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Price of bid under consideration</w:t>
      </w:r>
    </w:p>
    <w:p>
      <w:pPr>
        <w:widowControl w:val="0"/>
        <w:tabs>
          <w:tab w:val="left" w:pos="900"/>
          <w:tab w:val="left" w:pos="1620"/>
          <w:tab w:val="left" w:pos="2160"/>
        </w:tabs>
        <w:spacing w:before="0" w:after="120"/>
        <w:jc w:val="both"/>
        <w:rPr>
          <w:sz w:val="20"/>
          <w:szCs w:val="20"/>
        </w:rPr>
      </w:pPr>
      <w:r>
        <w:rPr>
          <w:sz w:val="20"/>
          <w:szCs w:val="20"/>
        </w:rPr>
        <w:tab/>
      </w:r>
      <w:r>
        <w:rPr>
          <w:rFonts w:ascii="Arial" w:eastAsia="Arial" w:hAnsi="Arial" w:cs="Arial"/>
          <w:sz w:val="20"/>
          <w:szCs w:val="20"/>
        </w:rPr>
        <w:t>Pmin</w:t>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Price of lowest acceptable bid</w:t>
      </w:r>
    </w:p>
    <w:p>
      <w:pPr>
        <w:widowControl w:val="0"/>
        <w:spacing w:before="0" w:after="120"/>
        <w:jc w:val="both"/>
        <w:rPr>
          <w:sz w:val="20"/>
          <w:szCs w:val="20"/>
        </w:rPr>
      </w:pPr>
    </w:p>
    <w:p>
      <w:pPr>
        <w:widowControl w:val="0"/>
        <w:numPr>
          <w:ilvl w:val="0"/>
          <w:numId w:val="37"/>
        </w:numPr>
        <w:pBdr>
          <w:left w:val="none" w:sz="0" w:space="22" w:color="auto"/>
        </w:pBdr>
        <w:spacing w:before="0"/>
        <w:ind w:left="720" w:right="0" w:hanging="703"/>
        <w:jc w:val="both"/>
        <w:rPr>
          <w:rFonts w:ascii="Arial" w:eastAsia="Arial" w:hAnsi="Arial" w:cs="Arial"/>
          <w:b/>
          <w:bCs/>
          <w:sz w:val="20"/>
          <w:szCs w:val="20"/>
        </w:rPr>
      </w:pPr>
      <w:r>
        <w:rPr>
          <w:rFonts w:ascii="Arial" w:eastAsia="Arial" w:hAnsi="Arial" w:cs="Arial"/>
          <w:b/>
          <w:bCs/>
          <w:sz w:val="20"/>
          <w:szCs w:val="20"/>
        </w:rPr>
        <w:t>POINTS AWARDED FOR B-BBEE STATUS LEVEL OF CONTRIBUTOR</w:t>
      </w:r>
    </w:p>
    <w:p>
      <w:pPr>
        <w:widowControl w:val="0"/>
        <w:numPr>
          <w:ilvl w:val="1"/>
          <w:numId w:val="37"/>
        </w:numPr>
        <w:spacing w:after="120"/>
        <w:ind w:left="250" w:right="0" w:hanging="250"/>
        <w:jc w:val="both"/>
        <w:rPr>
          <w:rFonts w:ascii="Arial" w:eastAsia="Arial" w:hAnsi="Arial" w:cs="Arial"/>
          <w:b w:val="0"/>
          <w:bCs w:val="0"/>
          <w:sz w:val="20"/>
          <w:szCs w:val="20"/>
        </w:rPr>
      </w:pPr>
      <w:r>
        <w:rPr>
          <w:rFonts w:ascii="Arial" w:eastAsia="Arial" w:hAnsi="Arial" w:cs="Arial"/>
          <w:b w:val="0"/>
          <w:bCs w:val="0"/>
          <w:sz w:val="20"/>
          <w:szCs w:val="20"/>
        </w:rPr>
        <w:t>In terms of Regulation 6 (2) and 7 (2) of the Preferential Procurement Regulations, preference points</w:t>
      </w:r>
      <w:r>
        <w:rPr>
          <w:rFonts w:ascii="Arial" w:eastAsia="Arial" w:hAnsi="Arial" w:cs="Arial"/>
          <w:b w:val="0"/>
          <w:bCs w:val="0"/>
          <w:sz w:val="20"/>
          <w:szCs w:val="20"/>
        </w:rPr>
        <w:t xml:space="preserve"> must be awarded to a bidder for attaining the B-BBEE status level of contribution in accordance with the table below:</w:t>
      </w:r>
    </w:p>
    <w:p>
      <w:pPr>
        <w:widowControl w:val="0"/>
        <w:spacing w:before="0" w:after="120"/>
        <w:ind w:left="720"/>
        <w:jc w:val="both"/>
        <w:rPr>
          <w:sz w:val="20"/>
          <w:szCs w:val="20"/>
        </w:rPr>
      </w:pPr>
    </w:p>
    <w:p>
      <w:pPr>
        <w:widowControl w:val="0"/>
        <w:spacing w:before="0" w:after="120"/>
        <w:ind w:left="720"/>
        <w:jc w:val="both"/>
        <w:rPr>
          <w:sz w:val="20"/>
          <w:szCs w:val="20"/>
        </w:rPr>
      </w:pPr>
    </w:p>
    <w:tbl>
      <w:tblPr>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797"/>
        <w:gridCol w:w="2785"/>
        <w:gridCol w:w="2616"/>
      </w:tblGrid>
      <w:tr>
        <w:tblPrEx>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trHeight w:val="863"/>
        </w:trPr>
        <w:tc>
          <w:tcPr>
            <w:tcW w:w="2700" w:type="dxa"/>
            <w:tcBorders>
              <w:bottom w:val="single" w:sz="6" w:space="0" w:color="000000"/>
              <w:right w:val="single" w:sz="6" w:space="0" w:color="000000"/>
            </w:tcBorders>
            <w:shd w:val="clear" w:color="auto" w:fill="C00000"/>
            <w:noWrap w:val="0"/>
            <w:tcMar>
              <w:top w:w="8" w:type="dxa"/>
              <w:left w:w="108" w:type="dxa"/>
              <w:bottom w:w="8" w:type="dxa"/>
              <w:right w:w="108" w:type="dxa"/>
            </w:tcMar>
            <w:vAlign w:val="center"/>
            <w:hideMark/>
          </w:tcPr>
          <w:p>
            <w:pPr>
              <w:spacing w:before="96"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B-BBEE Status Level of Contributor</w:t>
            </w:r>
          </w:p>
        </w:tc>
        <w:tc>
          <w:tcPr>
            <w:tcW w:w="2700" w:type="dxa"/>
            <w:tcBorders>
              <w:left w:val="single" w:sz="6" w:space="0" w:color="000000"/>
              <w:bottom w:val="single" w:sz="6" w:space="0" w:color="000000"/>
              <w:right w:val="single" w:sz="6" w:space="0" w:color="000000"/>
            </w:tcBorders>
            <w:shd w:val="clear" w:color="auto" w:fill="C00000"/>
            <w:noWrap w:val="0"/>
            <w:tcMar>
              <w:top w:w="8" w:type="dxa"/>
              <w:left w:w="108" w:type="dxa"/>
              <w:bottom w:w="8" w:type="dxa"/>
              <w:right w:w="108" w:type="dxa"/>
            </w:tcMar>
            <w:vAlign w:val="center"/>
            <w:hideMark/>
          </w:tcPr>
          <w:p>
            <w:pPr>
              <w:spacing w:before="96"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Number of points</w:t>
            </w:r>
          </w:p>
          <w:p>
            <w:pPr>
              <w:spacing w:before="96"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(90/10 system)</w:t>
            </w:r>
          </w:p>
        </w:tc>
        <w:tc>
          <w:tcPr>
            <w:tcW w:w="2520" w:type="dxa"/>
            <w:tcBorders>
              <w:left w:val="single" w:sz="6" w:space="0" w:color="000000"/>
              <w:bottom w:val="single" w:sz="6" w:space="0" w:color="000000"/>
            </w:tcBorders>
            <w:shd w:val="clear" w:color="auto" w:fill="C00000"/>
            <w:noWrap w:val="0"/>
            <w:tcMar>
              <w:top w:w="8" w:type="dxa"/>
              <w:left w:w="108" w:type="dxa"/>
              <w:bottom w:w="8" w:type="dxa"/>
              <w:right w:w="108" w:type="dxa"/>
            </w:tcMar>
            <w:vAlign w:val="center"/>
            <w:hideMark/>
          </w:tcPr>
          <w:p>
            <w:pPr>
              <w:spacing w:before="96"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Number of points</w:t>
            </w:r>
          </w:p>
          <w:p>
            <w:pPr>
              <w:spacing w:before="96"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(80/20 system)</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10</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9</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18</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3</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6</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14</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tabs>
                <w:tab w:val="left" w:pos="645"/>
                <w:tab w:val="center" w:pos="1242"/>
              </w:tabs>
              <w:spacing w:before="115" w:after="0"/>
              <w:rPr>
                <w:b w:val="0"/>
                <w:bCs w:val="0"/>
                <w:i w:val="0"/>
                <w:iCs w:val="0"/>
                <w:smallCaps w:val="0"/>
                <w:color w:val="000000"/>
                <w:sz w:val="20"/>
                <w:szCs w:val="20"/>
              </w:rPr>
            </w:pPr>
            <w:r>
              <w:rPr>
                <w:b w:val="0"/>
                <w:bCs w:val="0"/>
                <w:i w:val="0"/>
                <w:iCs w:val="0"/>
                <w:smallCaps w:val="0"/>
                <w:color w:val="000000"/>
                <w:sz w:val="20"/>
                <w:szCs w:val="20"/>
              </w:rPr>
              <w:tab/>
            </w:r>
            <w:r>
              <w:rPr>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5</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12</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5</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6</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3</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6</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7</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w:t>
            </w:r>
          </w:p>
        </w:tc>
      </w:tr>
      <w:tr>
        <w:tblPrEx>
          <w:tblInd w:w="944" w:type="dxa"/>
          <w:tblCellMar>
            <w:top w:w="0" w:type="dxa"/>
            <w:left w:w="0" w:type="dxa"/>
            <w:bottom w:w="0" w:type="dxa"/>
            <w:right w:w="0" w:type="dxa"/>
          </w:tblCellMar>
        </w:tblPrEx>
        <w:trPr>
          <w:trHeight w:val="317"/>
        </w:trPr>
        <w:tc>
          <w:tcPr>
            <w:tcW w:w="2700"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Non-compliant contributor</w:t>
            </w:r>
          </w:p>
        </w:tc>
        <w:tc>
          <w:tcPr>
            <w:tcW w:w="2700"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0</w:t>
            </w:r>
          </w:p>
        </w:tc>
        <w:tc>
          <w:tcPr>
            <w:tcW w:w="2520"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0</w:t>
            </w:r>
          </w:p>
        </w:tc>
      </w:tr>
    </w:tbl>
    <w:p>
      <w:pPr>
        <w:spacing w:before="0" w:after="120"/>
        <w:ind w:left="907"/>
        <w:jc w:val="both"/>
        <w:rPr>
          <w:sz w:val="20"/>
          <w:szCs w:val="20"/>
        </w:rPr>
      </w:pPr>
    </w:p>
    <w:p>
      <w:pPr>
        <w:widowControl w:val="0"/>
        <w:numPr>
          <w:ilvl w:val="0"/>
          <w:numId w:val="38"/>
        </w:numPr>
        <w:pBdr>
          <w:left w:val="none" w:sz="0" w:space="22" w:color="auto"/>
        </w:pBdr>
        <w:spacing w:before="0"/>
        <w:ind w:left="720" w:right="0" w:hanging="703"/>
        <w:jc w:val="both"/>
        <w:rPr>
          <w:rFonts w:ascii="Arial" w:eastAsia="Arial" w:hAnsi="Arial" w:cs="Arial"/>
          <w:b/>
          <w:bCs/>
          <w:sz w:val="20"/>
          <w:szCs w:val="20"/>
        </w:rPr>
      </w:pPr>
      <w:r>
        <w:rPr>
          <w:rFonts w:ascii="Arial" w:eastAsia="Arial" w:hAnsi="Arial" w:cs="Arial"/>
          <w:b/>
          <w:bCs/>
          <w:sz w:val="20"/>
          <w:szCs w:val="20"/>
        </w:rPr>
        <w:t>BID DECLARATION</w:t>
      </w:r>
    </w:p>
    <w:p>
      <w:pPr>
        <w:widowControl w:val="0"/>
        <w:numPr>
          <w:ilvl w:val="1"/>
          <w:numId w:val="38"/>
        </w:numPr>
        <w:spacing w:after="120"/>
        <w:ind w:left="250" w:right="0" w:hanging="250"/>
        <w:jc w:val="both"/>
        <w:rPr>
          <w:rFonts w:ascii="Arial" w:eastAsia="Arial" w:hAnsi="Arial" w:cs="Arial"/>
          <w:b w:val="0"/>
          <w:bCs w:val="0"/>
          <w:sz w:val="20"/>
          <w:szCs w:val="20"/>
        </w:rPr>
      </w:pPr>
      <w:r>
        <w:rPr>
          <w:rFonts w:ascii="Arial" w:eastAsia="Arial" w:hAnsi="Arial" w:cs="Arial"/>
          <w:b w:val="0"/>
          <w:bCs w:val="0"/>
          <w:sz w:val="20"/>
          <w:szCs w:val="20"/>
        </w:rPr>
        <w:t>Bidders who claim points in respect of B-BBEE Status Level of Contribution must complete the following:</w:t>
      </w:r>
    </w:p>
    <w:p>
      <w:pPr>
        <w:widowControl w:val="0"/>
        <w:numPr>
          <w:ilvl w:val="0"/>
          <w:numId w:val="38"/>
        </w:numPr>
        <w:pBdr>
          <w:left w:val="none" w:sz="0" w:space="22" w:color="auto"/>
        </w:pBdr>
        <w:ind w:left="720" w:right="0" w:hanging="703"/>
        <w:jc w:val="both"/>
        <w:rPr>
          <w:rFonts w:ascii="Arial" w:eastAsia="Arial" w:hAnsi="Arial" w:cs="Arial"/>
          <w:b/>
          <w:bCs/>
          <w:sz w:val="20"/>
          <w:szCs w:val="20"/>
        </w:rPr>
      </w:pPr>
      <w:r>
        <w:rPr>
          <w:rFonts w:ascii="Arial" w:eastAsia="Arial" w:hAnsi="Arial" w:cs="Arial"/>
          <w:b/>
          <w:bCs/>
          <w:sz w:val="20"/>
          <w:szCs w:val="20"/>
        </w:rPr>
        <w:t xml:space="preserve">B-BBEE STATUS LEVEL OF CONTRIBUTOR CLAIMED IN TERMS OF PARAGRAPHS 1.4 AND 4.1 </w:t>
      </w:r>
    </w:p>
    <w:p>
      <w:pPr>
        <w:widowControl w:val="0"/>
        <w:numPr>
          <w:ilvl w:val="1"/>
          <w:numId w:val="38"/>
        </w:numPr>
        <w:spacing w:after="120"/>
        <w:ind w:left="250" w:right="0" w:hanging="250"/>
        <w:jc w:val="both"/>
        <w:rPr>
          <w:rFonts w:ascii="Arial" w:eastAsia="Arial" w:hAnsi="Arial" w:cs="Arial"/>
          <w:b w:val="0"/>
          <w:bCs w:val="0"/>
          <w:sz w:val="20"/>
          <w:szCs w:val="20"/>
        </w:rPr>
      </w:pPr>
      <w:r>
        <w:rPr>
          <w:rFonts w:ascii="Arial" w:eastAsia="Arial" w:hAnsi="Arial" w:cs="Arial"/>
          <w:b w:val="0"/>
          <w:bCs w:val="0"/>
          <w:sz w:val="20"/>
          <w:szCs w:val="20"/>
        </w:rPr>
        <w:t>B-BBEE Status Level of Contributor:</w:t>
      </w:r>
      <w:r>
        <w:rPr>
          <w:rFonts w:ascii="Arial" w:eastAsia="Arial" w:hAnsi="Arial" w:cs="Arial"/>
          <w:b w:val="0"/>
          <w:bCs w:val="0"/>
          <w:sz w:val="20"/>
          <w:szCs w:val="20"/>
        </w:rPr>
        <w:tab/>
      </w:r>
      <w:r>
        <w:rPr>
          <w:rFonts w:ascii="Arial" w:eastAsia="Arial" w:hAnsi="Arial" w:cs="Arial"/>
          <w:b w:val="0"/>
          <w:bCs w:val="0"/>
          <w:sz w:val="20"/>
          <w:szCs w:val="20"/>
        </w:rPr>
        <w:t>.</w:t>
      </w:r>
      <w:r>
        <w:rPr>
          <w:rFonts w:ascii="Arial" w:eastAsia="Arial" w:hAnsi="Arial" w:cs="Arial"/>
          <w:b w:val="0"/>
          <w:bCs w:val="0"/>
          <w:sz w:val="20"/>
          <w:szCs w:val="20"/>
        </w:rPr>
        <w:t xml:space="preserve">      </w:t>
      </w:r>
      <w:r>
        <w:rPr>
          <w:rFonts w:ascii="Arial" w:eastAsia="Arial" w:hAnsi="Arial" w:cs="Arial"/>
          <w:b w:val="0"/>
          <w:bCs w:val="0"/>
          <w:sz w:val="20"/>
          <w:szCs w:val="20"/>
        </w:rPr>
        <w:t>=</w:t>
      </w:r>
      <w:r>
        <w:rPr>
          <w:rFonts w:ascii="Arial" w:eastAsia="Arial" w:hAnsi="Arial" w:cs="Arial"/>
          <w:b w:val="0"/>
          <w:bCs w:val="0"/>
          <w:sz w:val="20"/>
          <w:szCs w:val="20"/>
        </w:rPr>
        <w:t xml:space="preserve">     </w:t>
      </w:r>
      <w:r>
        <w:rPr>
          <w:rFonts w:ascii="Arial" w:eastAsia="Arial" w:hAnsi="Arial" w:cs="Arial"/>
          <w:b w:val="0"/>
          <w:bCs w:val="0"/>
          <w:sz w:val="20"/>
          <w:szCs w:val="20"/>
        </w:rPr>
        <w:t>………(maximum of 20 points)</w:t>
      </w:r>
    </w:p>
    <w:p>
      <w:pPr>
        <w:widowControl w:val="0"/>
        <w:spacing w:before="0" w:after="120"/>
        <w:ind w:left="907"/>
        <w:jc w:val="both"/>
        <w:rPr>
          <w:sz w:val="20"/>
          <w:szCs w:val="20"/>
        </w:rPr>
      </w:pPr>
      <w:r>
        <w:rPr>
          <w:rFonts w:ascii="Arial" w:eastAsia="Arial" w:hAnsi="Arial" w:cs="Arial"/>
          <w:sz w:val="20"/>
          <w:szCs w:val="20"/>
        </w:rPr>
        <w:t>(Points claimed in respect of paragraph 7.1 must be in accordance with the table reflected in paragraph 4.1 and must be substantiated by relevant proof of B-BBEE status level of contributor.</w:t>
      </w:r>
    </w:p>
    <w:p>
      <w:pPr>
        <w:widowControl w:val="0"/>
        <w:numPr>
          <w:ilvl w:val="0"/>
          <w:numId w:val="39"/>
        </w:numPr>
        <w:pBdr>
          <w:left w:val="none" w:sz="0" w:space="22" w:color="auto"/>
        </w:pBdr>
        <w:spacing w:before="0"/>
        <w:ind w:left="720" w:right="0" w:hanging="703"/>
        <w:jc w:val="both"/>
        <w:rPr>
          <w:rFonts w:ascii="Arial" w:eastAsia="Arial" w:hAnsi="Arial" w:cs="Arial"/>
          <w:b/>
          <w:bCs/>
          <w:sz w:val="20"/>
          <w:szCs w:val="20"/>
        </w:rPr>
      </w:pPr>
      <w:r>
        <w:rPr>
          <w:rFonts w:ascii="Arial" w:eastAsia="Arial" w:hAnsi="Arial" w:cs="Arial"/>
          <w:b/>
          <w:bCs/>
          <w:sz w:val="20"/>
          <w:szCs w:val="20"/>
        </w:rPr>
        <w:t>SUB-CONTRACTING</w:t>
      </w:r>
    </w:p>
    <w:p>
      <w:pPr>
        <w:widowControl w:val="0"/>
        <w:numPr>
          <w:ilvl w:val="1"/>
          <w:numId w:val="39"/>
        </w:numPr>
        <w:spacing w:after="120"/>
        <w:ind w:left="250" w:right="0" w:hanging="250"/>
        <w:jc w:val="both"/>
        <w:rPr>
          <w:rFonts w:ascii="Arial" w:eastAsia="Arial" w:hAnsi="Arial" w:cs="Arial"/>
          <w:b w:val="0"/>
          <w:bCs w:val="0"/>
          <w:sz w:val="20"/>
          <w:szCs w:val="20"/>
        </w:rPr>
      </w:pPr>
      <w:r>
        <w:rPr>
          <w:rFonts w:ascii="Arial" w:eastAsia="Arial" w:hAnsi="Arial" w:cs="Arial"/>
          <w:b w:val="0"/>
          <w:bCs w:val="0"/>
          <w:sz w:val="20"/>
          <w:szCs w:val="20"/>
        </w:rPr>
        <w:t>Will any portion of the contract be sub-contracted?</w:t>
      </w:r>
      <w:r>
        <w:rPr>
          <w:rFonts w:ascii="Arial" w:eastAsia="Arial" w:hAnsi="Arial" w:cs="Arial"/>
          <w:b w:val="0"/>
          <w:bCs w:val="0"/>
          <w:sz w:val="20"/>
          <w:szCs w:val="20"/>
        </w:rPr>
        <w:t xml:space="preserve">  </w:t>
      </w:r>
    </w:p>
    <w:p>
      <w:pPr>
        <w:widowControl w:val="0"/>
        <w:spacing w:before="0" w:after="0"/>
        <w:ind w:left="907"/>
        <w:rPr>
          <w:sz w:val="20"/>
          <w:szCs w:val="20"/>
        </w:rPr>
      </w:pPr>
      <w:r>
        <w:rPr>
          <w:rFonts w:ascii="Arial" w:eastAsia="Arial" w:hAnsi="Arial" w:cs="Arial"/>
          <w:sz w:val="20"/>
          <w:szCs w:val="20"/>
        </w:rPr>
        <w:t>(</w:t>
      </w:r>
      <w:r>
        <w:rPr>
          <w:rFonts w:ascii="Arial" w:eastAsia="Arial" w:hAnsi="Arial" w:cs="Arial"/>
          <w:b/>
          <w:bCs/>
          <w:i/>
          <w:iCs/>
          <w:sz w:val="20"/>
          <w:szCs w:val="20"/>
        </w:rPr>
        <w:t>Tick applicable box</w:t>
      </w:r>
      <w:r>
        <w:rPr>
          <w:rFonts w:ascii="Arial" w:eastAsia="Arial" w:hAnsi="Arial" w:cs="Arial"/>
          <w:sz w:val="20"/>
          <w:szCs w:val="20"/>
        </w:rPr>
        <w:t>)</w:t>
      </w:r>
    </w:p>
    <w:p>
      <w:pPr>
        <w:widowControl w:val="0"/>
        <w:spacing w:before="0" w:after="0"/>
        <w:ind w:left="900"/>
        <w:rPr>
          <w:sz w:val="20"/>
          <w:szCs w:val="20"/>
        </w:rPr>
      </w:pPr>
    </w:p>
    <w:tbl>
      <w:tblPr>
        <w:tblInd w:w="1138"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
      <w:tblGrid>
        <w:gridCol w:w="775"/>
        <w:gridCol w:w="785"/>
        <w:gridCol w:w="1031"/>
        <w:gridCol w:w="834"/>
      </w:tblGrid>
      <w:tr>
        <w:tblPrEx>
          <w:tblInd w:w="1138"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Ex>
        <w:tc>
          <w:tcPr>
            <w:tcW w:w="437" w:type="dxa"/>
            <w:tcBorders>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tc>
        <w:tc>
          <w:tcPr>
            <w:tcW w:w="495" w:type="dxa"/>
            <w:tcBorders>
              <w:left w:val="single" w:sz="18" w:space="0" w:color="000000"/>
              <w:righ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0"/>
                <w:szCs w:val="20"/>
              </w:rPr>
            </w:pPr>
          </w:p>
        </w:tc>
        <w:tc>
          <w:tcPr>
            <w:tcW w:w="720" w:type="dxa"/>
            <w:tcBorders>
              <w:left w:val="single" w:sz="18" w:space="0" w:color="000000"/>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tc>
        <w:tc>
          <w:tcPr>
            <w:tcW w:w="540" w:type="dxa"/>
            <w:tcBorders>
              <w:lef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0"/>
                <w:szCs w:val="20"/>
              </w:rPr>
            </w:pPr>
          </w:p>
        </w:tc>
      </w:tr>
    </w:tbl>
    <w:p>
      <w:pPr>
        <w:spacing w:before="0" w:after="120"/>
        <w:ind w:left="907"/>
        <w:jc w:val="both"/>
        <w:rPr>
          <w:sz w:val="20"/>
          <w:szCs w:val="20"/>
        </w:rPr>
      </w:pPr>
    </w:p>
    <w:p>
      <w:pPr>
        <w:widowControl w:val="0"/>
        <w:spacing w:before="0" w:after="120"/>
        <w:ind w:left="907" w:hanging="907"/>
        <w:jc w:val="both"/>
        <w:rPr>
          <w:sz w:val="20"/>
          <w:szCs w:val="20"/>
        </w:rPr>
      </w:pPr>
      <w:r>
        <w:rPr>
          <w:rFonts w:ascii="Arial" w:eastAsia="Arial" w:hAnsi="Arial" w:cs="Arial"/>
          <w:sz w:val="20"/>
          <w:szCs w:val="20"/>
        </w:rPr>
        <w:t>7.1.1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If yes, indicate:</w:t>
      </w:r>
    </w:p>
    <w:p>
      <w:pPr>
        <w:widowControl w:val="0"/>
        <w:spacing w:before="0" w:after="0"/>
        <w:ind w:left="1260" w:hanging="360"/>
        <w:jc w:val="both"/>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What percentage of the contract will be subcontracted............…………….%</w:t>
      </w:r>
    </w:p>
    <w:p>
      <w:pPr>
        <w:widowControl w:val="0"/>
        <w:spacing w:before="0" w:after="0"/>
        <w:ind w:left="1260" w:hanging="360"/>
        <w:jc w:val="both"/>
        <w:rPr>
          <w:sz w:val="20"/>
          <w:szCs w:val="20"/>
        </w:rPr>
      </w:pPr>
      <w:r>
        <w:rPr>
          <w:rFonts w:ascii="Arial" w:eastAsia="Arial" w:hAnsi="Arial" w:cs="Arial"/>
          <w:sz w:val="20"/>
          <w:szCs w:val="20"/>
        </w:rPr>
        <w:t>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name of the sub-contractor………………………………………………</w:t>
      </w:r>
    </w:p>
    <w:p>
      <w:pPr>
        <w:widowControl w:val="0"/>
        <w:spacing w:before="0" w:after="0"/>
        <w:ind w:left="1260" w:hanging="360"/>
        <w:jc w:val="both"/>
        <w:rPr>
          <w:sz w:val="20"/>
          <w:szCs w:val="20"/>
        </w:rPr>
      </w:pPr>
      <w:r>
        <w:rPr>
          <w:rFonts w:ascii="Arial" w:eastAsia="Arial" w:hAnsi="Arial" w:cs="Arial"/>
          <w:sz w:val="20"/>
          <w:szCs w:val="20"/>
        </w:rPr>
        <w:t>iii)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B-BBEE status level of the sub-contractor......................................….</w:t>
      </w:r>
    </w:p>
    <w:p>
      <w:pPr>
        <w:widowControl w:val="0"/>
        <w:spacing w:before="0" w:after="0"/>
        <w:ind w:left="1260" w:hanging="360"/>
        <w:jc w:val="both"/>
        <w:rPr>
          <w:sz w:val="20"/>
          <w:szCs w:val="20"/>
        </w:rPr>
      </w:pPr>
      <w:r>
        <w:rPr>
          <w:rFonts w:ascii="Arial" w:eastAsia="Arial" w:hAnsi="Arial" w:cs="Arial"/>
          <w:sz w:val="20"/>
          <w:szCs w:val="20"/>
        </w:rPr>
        <w:t>iv)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Whether the sub-contractor is an EME or QSE</w:t>
      </w:r>
    </w:p>
    <w:p>
      <w:pPr>
        <w:widowControl w:val="0"/>
        <w:spacing w:before="0" w:after="0"/>
        <w:ind w:left="1260"/>
        <w:rPr>
          <w:sz w:val="20"/>
          <w:szCs w:val="20"/>
        </w:rPr>
      </w:pPr>
      <w:r>
        <w:rPr>
          <w:rFonts w:ascii="Arial" w:eastAsia="Arial" w:hAnsi="Arial" w:cs="Arial"/>
          <w:b/>
          <w:bCs/>
          <w:i/>
          <w:iCs/>
          <w:sz w:val="20"/>
          <w:szCs w:val="20"/>
        </w:rPr>
        <w:t>(Tick applicable box</w:t>
      </w:r>
      <w:r>
        <w:rPr>
          <w:rFonts w:ascii="Arial" w:eastAsia="Arial" w:hAnsi="Arial" w:cs="Arial"/>
          <w:sz w:val="20"/>
          <w:szCs w:val="20"/>
        </w:rPr>
        <w:t>)</w:t>
      </w:r>
    </w:p>
    <w:tbl>
      <w:tblPr>
        <w:tblInd w:w="1499"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
      <w:tblGrid>
        <w:gridCol w:w="842"/>
        <w:gridCol w:w="795"/>
        <w:gridCol w:w="1044"/>
        <w:gridCol w:w="845"/>
      </w:tblGrid>
      <w:tr>
        <w:tblPrEx>
          <w:tblInd w:w="1499"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Ex>
        <w:tc>
          <w:tcPr>
            <w:tcW w:w="537" w:type="dxa"/>
            <w:tcBorders>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tc>
        <w:tc>
          <w:tcPr>
            <w:tcW w:w="495" w:type="dxa"/>
            <w:tcBorders>
              <w:left w:val="single" w:sz="18" w:space="0" w:color="000000"/>
              <w:righ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0"/>
                <w:szCs w:val="20"/>
              </w:rPr>
            </w:pPr>
          </w:p>
        </w:tc>
        <w:tc>
          <w:tcPr>
            <w:tcW w:w="720" w:type="dxa"/>
            <w:tcBorders>
              <w:left w:val="single" w:sz="18" w:space="0" w:color="000000"/>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tc>
        <w:tc>
          <w:tcPr>
            <w:tcW w:w="540" w:type="dxa"/>
            <w:tcBorders>
              <w:lef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0"/>
                <w:szCs w:val="20"/>
              </w:rPr>
            </w:pPr>
          </w:p>
        </w:tc>
      </w:tr>
    </w:tbl>
    <w:p>
      <w:pPr>
        <w:widowControl w:val="0"/>
        <w:spacing w:before="0" w:after="0"/>
        <w:ind w:left="1284" w:hanging="360"/>
        <w:jc w:val="both"/>
        <w:rPr>
          <w:sz w:val="20"/>
          <w:szCs w:val="20"/>
        </w:rPr>
      </w:pPr>
      <w:r>
        <w:rPr>
          <w:rFonts w:ascii="Arial" w:eastAsia="Arial" w:hAnsi="Arial" w:cs="Arial"/>
          <w:sz w:val="20"/>
          <w:szCs w:val="20"/>
        </w:rPr>
        <w:t>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Specify, by ticking the appropriate box, if subcontracting with an enterprise in terms of Preferential Procurement Regulations,2017:</w:t>
      </w:r>
    </w:p>
    <w:p>
      <w:pPr>
        <w:widowControl w:val="0"/>
        <w:tabs>
          <w:tab w:val="left" w:pos="709"/>
          <w:tab w:val="left" w:pos="900"/>
        </w:tabs>
        <w:spacing w:before="0" w:after="0"/>
        <w:jc w:val="both"/>
        <w:rPr>
          <w:sz w:val="20"/>
          <w:szCs w:val="20"/>
        </w:rPr>
      </w:pPr>
      <w:r>
        <w:rPr>
          <w:sz w:val="20"/>
          <w:szCs w:val="20"/>
        </w:rPr>
        <w:tab/>
      </w:r>
      <w:r>
        <w:rPr>
          <w:sz w:val="20"/>
          <w:szCs w:val="20"/>
        </w:rPr>
        <w:tab/>
      </w:r>
    </w:p>
    <w:tbl>
      <w:tblPr>
        <w:tblW w:w="9322"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6724"/>
        <w:gridCol w:w="1285"/>
        <w:gridCol w:w="1283"/>
      </w:tblGrid>
      <w:tr>
        <w:tblPrEx>
          <w:tblW w:w="9322"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7054" w:type="dxa"/>
            <w:tcBorders>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Designated Group: An EME or QSE which is at last 51% owned by:</w:t>
            </w:r>
          </w:p>
        </w:tc>
        <w:tc>
          <w:tcPr>
            <w:tcW w:w="1134" w:type="dxa"/>
            <w:tcBorders>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EME</w:t>
            </w:r>
          </w:p>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w:t>
            </w:r>
          </w:p>
        </w:tc>
        <w:tc>
          <w:tcPr>
            <w:tcW w:w="1134" w:type="dxa"/>
            <w:tcBorders>
              <w:left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QSE</w:t>
            </w:r>
          </w:p>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w:t>
            </w: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 who are youth</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 who are women</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 with disabilities</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 living in rural or underdeveloped areas or townships</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Cooperative owned by black people</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 who are military veterans</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9322" w:type="dxa"/>
            <w:gridSpan w:val="3"/>
            <w:tcBorders>
              <w:top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OR</w:t>
            </w: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Any EME </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Any QSE</w:t>
            </w:r>
          </w:p>
        </w:tc>
        <w:tc>
          <w:tcPr>
            <w:tcW w:w="1134"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bl>
    <w:p>
      <w:pPr>
        <w:widowControl w:val="0"/>
        <w:spacing w:before="0" w:after="0"/>
        <w:jc w:val="both"/>
        <w:rPr>
          <w:sz w:val="20"/>
          <w:szCs w:val="20"/>
        </w:rPr>
      </w:pPr>
    </w:p>
    <w:p>
      <w:pPr>
        <w:widowControl w:val="0"/>
        <w:spacing w:before="0" w:after="0"/>
        <w:jc w:val="both"/>
        <w:rPr>
          <w:sz w:val="20"/>
          <w:szCs w:val="20"/>
        </w:rPr>
      </w:pPr>
    </w:p>
    <w:p>
      <w:pPr>
        <w:widowControl w:val="0"/>
        <w:numPr>
          <w:ilvl w:val="0"/>
          <w:numId w:val="40"/>
        </w:numPr>
        <w:pBdr>
          <w:left w:val="none" w:sz="0" w:space="22" w:color="auto"/>
        </w:pBdr>
        <w:spacing w:before="0"/>
        <w:ind w:left="720" w:right="0" w:hanging="703"/>
        <w:jc w:val="both"/>
        <w:rPr>
          <w:rFonts w:ascii="Arial" w:eastAsia="Arial" w:hAnsi="Arial" w:cs="Arial"/>
          <w:sz w:val="20"/>
          <w:szCs w:val="20"/>
        </w:rPr>
      </w:pPr>
      <w:r>
        <w:rPr>
          <w:rFonts w:ascii="Arial" w:eastAsia="Arial" w:hAnsi="Arial" w:cs="Arial"/>
          <w:b/>
          <w:bCs/>
          <w:sz w:val="20"/>
          <w:szCs w:val="20"/>
        </w:rPr>
        <w:t>DECLARATION WITH REGARD TO COMPANY/FIRM</w:t>
      </w:r>
    </w:p>
    <w:p>
      <w:pPr>
        <w:widowControl w:val="0"/>
        <w:numPr>
          <w:ilvl w:val="1"/>
          <w:numId w:val="40"/>
        </w:numPr>
        <w:spacing w:after="120" w:line="312" w:lineRule="auto"/>
        <w:ind w:left="250" w:right="0" w:hanging="250"/>
        <w:jc w:val="both"/>
        <w:rPr>
          <w:rFonts w:ascii="Arial" w:eastAsia="Arial" w:hAnsi="Arial" w:cs="Arial"/>
          <w:sz w:val="20"/>
          <w:szCs w:val="20"/>
        </w:rPr>
      </w:pPr>
      <w:r>
        <w:rPr>
          <w:rFonts w:ascii="Arial" w:eastAsia="Arial" w:hAnsi="Arial" w:cs="Arial"/>
          <w:sz w:val="20"/>
          <w:szCs w:val="20"/>
        </w:rPr>
        <w:t>Name of company/firm:…………………………………………………………………</w:t>
      </w:r>
    </w:p>
    <w:p>
      <w:pPr>
        <w:widowControl w:val="0"/>
        <w:numPr>
          <w:ilvl w:val="1"/>
          <w:numId w:val="40"/>
        </w:numPr>
        <w:spacing w:after="120" w:line="312" w:lineRule="auto"/>
        <w:ind w:left="250" w:right="0" w:hanging="250"/>
        <w:jc w:val="both"/>
        <w:rPr>
          <w:rFonts w:ascii="Arial" w:eastAsia="Arial" w:hAnsi="Arial" w:cs="Arial"/>
          <w:sz w:val="20"/>
          <w:szCs w:val="20"/>
        </w:rPr>
      </w:pPr>
      <w:r>
        <w:rPr>
          <w:rFonts w:ascii="Arial" w:eastAsia="Arial" w:hAnsi="Arial" w:cs="Arial"/>
          <w:sz w:val="20"/>
          <w:szCs w:val="20"/>
        </w:rPr>
        <w:t>VAT registration number:……………………………………….………………………</w:t>
      </w:r>
    </w:p>
    <w:p>
      <w:pPr>
        <w:widowControl w:val="0"/>
        <w:numPr>
          <w:ilvl w:val="1"/>
          <w:numId w:val="40"/>
        </w:numPr>
        <w:spacing w:after="120" w:line="312" w:lineRule="auto"/>
        <w:ind w:left="250" w:right="0" w:hanging="250"/>
        <w:jc w:val="both"/>
        <w:rPr>
          <w:rFonts w:ascii="Arial" w:eastAsia="Arial" w:hAnsi="Arial" w:cs="Arial"/>
          <w:sz w:val="20"/>
          <w:szCs w:val="20"/>
        </w:rPr>
      </w:pPr>
      <w:r>
        <w:rPr>
          <w:rFonts w:ascii="Arial" w:eastAsia="Arial" w:hAnsi="Arial" w:cs="Arial"/>
          <w:sz w:val="20"/>
          <w:szCs w:val="20"/>
        </w:rPr>
        <w:t>Company registration number:…………….……………………….…………………</w:t>
      </w:r>
    </w:p>
    <w:p>
      <w:pPr>
        <w:widowControl w:val="0"/>
        <w:spacing w:before="0" w:after="120" w:line="312" w:lineRule="auto"/>
        <w:ind w:left="907"/>
        <w:jc w:val="both"/>
        <w:rPr>
          <w:sz w:val="20"/>
          <w:szCs w:val="20"/>
        </w:rPr>
      </w:pPr>
    </w:p>
    <w:p>
      <w:pPr>
        <w:widowControl w:val="0"/>
        <w:spacing w:before="0" w:after="120" w:line="312" w:lineRule="auto"/>
        <w:ind w:left="907" w:hanging="907"/>
        <w:jc w:val="both"/>
        <w:rPr>
          <w:sz w:val="20"/>
          <w:szCs w:val="20"/>
        </w:rPr>
      </w:pPr>
      <w:r>
        <w:rPr>
          <w:rFonts w:ascii="Arial" w:eastAsia="Arial" w:hAnsi="Arial" w:cs="Arial"/>
          <w:sz w:val="20"/>
          <w:szCs w:val="20"/>
        </w:rPr>
        <w:t>8.4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TYPE OF COMPANY/ FIRM</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Partnership/Joint Venture / Consortium</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One person business/sole propriety</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Close corporation</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Company</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(Pty) Limited</w:t>
      </w:r>
    </w:p>
    <w:p>
      <w:pPr>
        <w:widowControl w:val="0"/>
        <w:spacing w:before="0" w:after="120"/>
        <w:ind w:left="907"/>
        <w:jc w:val="both"/>
        <w:rPr>
          <w:sz w:val="20"/>
          <w:szCs w:val="20"/>
        </w:rPr>
      </w:pPr>
      <w:r>
        <w:rPr>
          <w:rFonts w:ascii="Arial" w:eastAsia="Arial" w:hAnsi="Arial" w:cs="Arial"/>
          <w:smallCaps/>
          <w:sz w:val="20"/>
          <w:szCs w:val="20"/>
        </w:rPr>
        <w:t>[Tick applicable box]</w:t>
      </w:r>
    </w:p>
    <w:p>
      <w:pPr>
        <w:widowControl w:val="0"/>
        <w:spacing w:before="0" w:after="120" w:line="312" w:lineRule="auto"/>
        <w:ind w:left="907" w:hanging="907"/>
        <w:jc w:val="both"/>
        <w:rPr>
          <w:sz w:val="20"/>
          <w:szCs w:val="20"/>
        </w:rPr>
      </w:pPr>
      <w:r>
        <w:rPr>
          <w:rFonts w:ascii="Arial" w:eastAsia="Arial" w:hAnsi="Arial" w:cs="Arial"/>
          <w:sz w:val="20"/>
          <w:szCs w:val="20"/>
        </w:rPr>
        <w:t>8.5</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DESCRIBE PRINCIPAL BUSINESS ACTIVITIES</w:t>
      </w:r>
    </w:p>
    <w:p>
      <w:pPr>
        <w:widowControl w:val="0"/>
        <w:spacing w:before="0" w:after="120" w:line="312" w:lineRule="auto"/>
        <w:ind w:left="907"/>
        <w:jc w:val="both"/>
        <w:rPr>
          <w:sz w:val="20"/>
          <w:szCs w:val="20"/>
        </w:rPr>
      </w:pPr>
      <w:r>
        <w:rPr>
          <w:rFonts w:ascii="Arial" w:eastAsia="Arial" w:hAnsi="Arial" w:cs="Arial"/>
          <w:sz w:val="20"/>
          <w:szCs w:val="20"/>
        </w:rPr>
        <w:t>…………………………………………………………………………………………………………………………………………………………………………………………………………………………………………………………………………………………………………………………………………………………………………………………………………………………..</w:t>
      </w:r>
    </w:p>
    <w:p>
      <w:pPr>
        <w:widowControl w:val="0"/>
        <w:spacing w:before="0" w:after="120" w:line="312" w:lineRule="auto"/>
        <w:ind w:left="907" w:hanging="907"/>
        <w:jc w:val="both"/>
        <w:rPr>
          <w:sz w:val="20"/>
          <w:szCs w:val="20"/>
        </w:rPr>
      </w:pPr>
      <w:r>
        <w:rPr>
          <w:rFonts w:ascii="Arial" w:eastAsia="Arial" w:hAnsi="Arial" w:cs="Arial"/>
          <w:sz w:val="20"/>
          <w:szCs w:val="20"/>
        </w:rPr>
        <w:t>8.6</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COMPANY CLASSIFICATION</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Manufacturer</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Supplier</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Professional service provider</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Other service providers, e.g. transporter, etc.</w:t>
      </w:r>
    </w:p>
    <w:p>
      <w:pPr>
        <w:widowControl w:val="0"/>
        <w:spacing w:before="0" w:after="0"/>
        <w:ind w:left="900"/>
        <w:jc w:val="both"/>
        <w:rPr>
          <w:sz w:val="20"/>
          <w:szCs w:val="20"/>
        </w:rPr>
      </w:pPr>
      <w:r>
        <w:rPr>
          <w:rFonts w:ascii="Arial" w:eastAsia="Arial" w:hAnsi="Arial" w:cs="Arial"/>
          <w:smallCaps/>
          <w:sz w:val="20"/>
          <w:szCs w:val="20"/>
        </w:rPr>
        <w:t>[</w:t>
      </w:r>
      <w:r>
        <w:rPr>
          <w:rFonts w:ascii="Arial" w:eastAsia="Arial" w:hAnsi="Arial" w:cs="Arial"/>
          <w:i/>
          <w:iCs/>
          <w:smallCaps/>
          <w:sz w:val="20"/>
          <w:szCs w:val="20"/>
        </w:rPr>
        <w:t>Tick applicable box</w:t>
      </w:r>
      <w:r>
        <w:rPr>
          <w:rFonts w:ascii="Arial" w:eastAsia="Arial" w:hAnsi="Arial" w:cs="Arial"/>
          <w:smallCaps/>
          <w:sz w:val="20"/>
          <w:szCs w:val="20"/>
        </w:rPr>
        <w:t>]</w:t>
      </w:r>
    </w:p>
    <w:p>
      <w:pPr>
        <w:widowControl w:val="0"/>
        <w:spacing w:before="0" w:after="0"/>
        <w:ind w:left="900"/>
        <w:jc w:val="both"/>
        <w:rPr>
          <w:sz w:val="20"/>
          <w:szCs w:val="20"/>
        </w:rPr>
      </w:pPr>
    </w:p>
    <w:p>
      <w:pPr>
        <w:widowControl w:val="0"/>
        <w:spacing w:before="0" w:after="120" w:line="312" w:lineRule="auto"/>
        <w:ind w:left="907" w:hanging="907"/>
        <w:jc w:val="both"/>
        <w:rPr>
          <w:sz w:val="20"/>
          <w:szCs w:val="20"/>
        </w:rPr>
      </w:pPr>
      <w:r>
        <w:rPr>
          <w:rFonts w:ascii="Arial" w:eastAsia="Arial" w:hAnsi="Arial" w:cs="Arial"/>
          <w:sz w:val="20"/>
          <w:szCs w:val="20"/>
        </w:rPr>
        <w:t>8.7</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Total number of years the company/firm has been in business:……………………</w:t>
      </w:r>
    </w:p>
    <w:p>
      <w:pPr>
        <w:widowControl w:val="0"/>
        <w:spacing w:before="0" w:after="120" w:line="312" w:lineRule="auto"/>
        <w:ind w:left="907" w:hanging="907"/>
        <w:jc w:val="both"/>
        <w:rPr>
          <w:sz w:val="20"/>
          <w:szCs w:val="20"/>
        </w:rPr>
      </w:pPr>
      <w:r>
        <w:rPr>
          <w:rFonts w:ascii="Arial" w:eastAsia="Arial" w:hAnsi="Arial" w:cs="Arial"/>
          <w:sz w:val="20"/>
          <w:szCs w:val="20"/>
        </w:rPr>
        <w:t>8.8</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pPr>
        <w:widowControl w:val="0"/>
        <w:spacing w:before="0" w:after="120"/>
        <w:ind w:left="1282" w:hanging="360"/>
        <w:jc w:val="both"/>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information furnished is true and correct;</w:t>
      </w:r>
    </w:p>
    <w:p>
      <w:pPr>
        <w:widowControl w:val="0"/>
        <w:spacing w:before="0" w:after="120"/>
        <w:ind w:left="1282" w:hanging="360"/>
        <w:jc w:val="both"/>
        <w:rPr>
          <w:sz w:val="20"/>
          <w:szCs w:val="20"/>
        </w:rPr>
      </w:pPr>
      <w:r>
        <w:rPr>
          <w:rFonts w:ascii="Arial" w:eastAsia="Arial" w:hAnsi="Arial" w:cs="Arial"/>
          <w:sz w:val="20"/>
          <w:szCs w:val="20"/>
        </w:rPr>
        <w:t>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preference points claimed are in accordance with the General Conditions as indicated in paragraph 1 of this form;</w:t>
      </w:r>
    </w:p>
    <w:p>
      <w:pPr>
        <w:widowControl w:val="0"/>
        <w:spacing w:before="0" w:after="120"/>
        <w:ind w:left="1282" w:hanging="360"/>
        <w:jc w:val="both"/>
        <w:rPr>
          <w:sz w:val="20"/>
          <w:szCs w:val="20"/>
        </w:rPr>
      </w:pPr>
      <w:r>
        <w:rPr>
          <w:rFonts w:ascii="Arial" w:eastAsia="Arial" w:hAnsi="Arial" w:cs="Arial"/>
          <w:sz w:val="20"/>
          <w:szCs w:val="20"/>
        </w:rPr>
        <w:t>iii)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In the event of a contract being awarded as a result of points claimed as shown in paragraphs 1.4 and 6.1, the contractor may be required to furnish documentary proof to the satisfaction of the purchaser that the claims are correct; </w:t>
      </w:r>
    </w:p>
    <w:p>
      <w:pPr>
        <w:widowControl w:val="0"/>
        <w:spacing w:before="0" w:after="120"/>
        <w:ind w:left="1282" w:hanging="360"/>
        <w:jc w:val="both"/>
        <w:rPr>
          <w:sz w:val="20"/>
          <w:szCs w:val="20"/>
        </w:rPr>
      </w:pPr>
      <w:r>
        <w:rPr>
          <w:rFonts w:ascii="Arial" w:eastAsia="Arial" w:hAnsi="Arial" w:cs="Arial"/>
          <w:sz w:val="20"/>
          <w:szCs w:val="20"/>
        </w:rPr>
        <w:t>iv)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If the B-BBEE status level of contributor has been claimed or obtained on a fraudulent basis or any of the conditions of contract have not been fulfilled, the purchaser may, in addition to any other remedy it may have –</w:t>
      </w:r>
    </w:p>
    <w:p>
      <w:pPr>
        <w:widowControl w:val="0"/>
        <w:spacing w:before="0" w:after="0"/>
        <w:ind w:left="900" w:right="745" w:hanging="900"/>
        <w:jc w:val="both"/>
        <w:rPr>
          <w:sz w:val="20"/>
          <w:szCs w:val="20"/>
        </w:rPr>
      </w:pPr>
    </w:p>
    <w:p>
      <w:pPr>
        <w:widowControl w:val="0"/>
        <w:spacing w:before="0" w:after="120"/>
        <w:ind w:left="1987" w:right="749" w:hanging="547"/>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disqualify the person from the bidding process;</w:t>
      </w:r>
    </w:p>
    <w:p>
      <w:pPr>
        <w:widowControl w:val="0"/>
        <w:spacing w:before="0" w:after="120"/>
        <w:ind w:left="1987" w:right="749" w:hanging="547"/>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recover costs, losses or damages it has incurred or suffered as a result of that person’s conduct;</w:t>
      </w:r>
    </w:p>
    <w:p>
      <w:pPr>
        <w:widowControl w:val="0"/>
        <w:spacing w:before="0" w:after="120"/>
        <w:ind w:left="1987" w:right="749" w:hanging="547"/>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cancel the contract and claim any damages which it has suffered as a result of having to make less favourable arrangements due to such cancellation;</w:t>
      </w:r>
    </w:p>
    <w:p>
      <w:pPr>
        <w:widowControl w:val="0"/>
        <w:spacing w:before="0" w:after="120"/>
        <w:ind w:left="1987" w:right="749" w:hanging="547"/>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Pr>
          <w:rFonts w:ascii="Arial" w:eastAsia="Arial" w:hAnsi="Arial" w:cs="Arial"/>
          <w:i/>
          <w:iCs/>
          <w:sz w:val="20"/>
          <w:szCs w:val="20"/>
        </w:rPr>
        <w:t>audialterampartem</w:t>
      </w:r>
      <w:r>
        <w:rPr>
          <w:rFonts w:ascii="Arial" w:eastAsia="Arial" w:hAnsi="Arial" w:cs="Arial"/>
          <w:sz w:val="20"/>
          <w:szCs w:val="20"/>
        </w:rPr>
        <w:t xml:space="preserve"> (hear the other side) rule has been applied; and</w:t>
      </w:r>
    </w:p>
    <w:p>
      <w:pPr>
        <w:widowControl w:val="0"/>
        <w:spacing w:before="0" w:after="120"/>
        <w:ind w:left="1987" w:right="749" w:hanging="547"/>
        <w:jc w:val="both"/>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forward the matter for criminal prosecution.</w:t>
      </w:r>
    </w:p>
    <w:p>
      <w:pPr>
        <w:widowControl w:val="0"/>
        <w:spacing w:before="0" w:after="0"/>
        <w:ind w:right="745"/>
        <w:jc w:val="both"/>
        <w:rPr>
          <w:sz w:val="20"/>
          <w:szCs w:val="20"/>
        </w:rPr>
      </w:pPr>
      <w:r>
        <w:rPr>
          <w:strike w:val="0"/>
          <w:sz w:val="20"/>
          <w:szCs w:val="20"/>
          <w:u w:val="none"/>
        </w:rPr>
        <w:drawing>
          <wp:anchor simplePos="0" relativeHeight="251659264" behindDoc="0" locked="0" layoutInCell="1" allowOverlap="1">
            <wp:simplePos x="0" y="0"/>
            <wp:positionH relativeFrom="column">
              <wp:posOffset>123825</wp:posOffset>
            </wp:positionH>
            <wp:positionV relativeFrom="paragraph">
              <wp:posOffset>67945</wp:posOffset>
            </wp:positionV>
            <wp:extent cx="2495550" cy="1714500"/>
            <wp:wrapNone/>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12"/>
                    <a:stretch>
                      <a:fillRect/>
                    </a:stretch>
                  </pic:blipFill>
                  <pic:spPr>
                    <a:xfrm>
                      <a:off x="0" y="0"/>
                      <a:ext cx="2495550" cy="1714500"/>
                    </a:xfrm>
                    <a:prstGeom prst="rect">
                      <a:avLst/>
                    </a:prstGeom>
                  </pic:spPr>
                </pic:pic>
              </a:graphicData>
            </a:graphic>
          </wp:anchor>
        </w:drawing>
      </w:r>
      <w:r>
        <w:rPr>
          <w:strike w:val="0"/>
          <w:sz w:val="20"/>
          <w:szCs w:val="20"/>
          <w:u w:val="none"/>
        </w:rPr>
        <w:drawing>
          <wp:anchor simplePos="0" relativeHeight="251658240" behindDoc="0" locked="0" layoutInCell="1" allowOverlap="1">
            <wp:simplePos x="0" y="0"/>
            <wp:positionH relativeFrom="column">
              <wp:posOffset>3009900</wp:posOffset>
            </wp:positionH>
            <wp:positionV relativeFrom="paragraph">
              <wp:posOffset>67945</wp:posOffset>
            </wp:positionV>
            <wp:extent cx="2552700" cy="1714500"/>
            <wp:wrapNone/>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13"/>
                    <a:stretch>
                      <a:fillRect/>
                    </a:stretch>
                  </pic:blipFill>
                  <pic:spPr>
                    <a:xfrm>
                      <a:off x="0" y="0"/>
                      <a:ext cx="2552700" cy="1714500"/>
                    </a:xfrm>
                    <a:prstGeom prst="rect">
                      <a:avLst/>
                    </a:prstGeom>
                  </pic:spPr>
                </pic:pic>
              </a:graphicData>
            </a:graphic>
          </wp:anchor>
        </w:drawing>
      </w:r>
    </w:p>
    <w:p>
      <w:pPr>
        <w:spacing w:before="0" w:after="0"/>
        <w:rPr>
          <w:sz w:val="20"/>
          <w:szCs w:val="20"/>
        </w:rPr>
      </w:pPr>
    </w:p>
    <w:p>
      <w:pPr>
        <w:spacing w:before="0" w:after="0"/>
        <w:ind w:right="745"/>
        <w:rPr>
          <w:sz w:val="20"/>
          <w:szCs w:val="20"/>
        </w:rPr>
      </w:pPr>
    </w:p>
    <w:p>
      <w:pPr>
        <w:spacing w:before="0" w:after="0"/>
        <w:ind w:right="745"/>
        <w:rPr>
          <w:sz w:val="20"/>
          <w:szCs w:val="20"/>
        </w:rPr>
      </w:pPr>
    </w:p>
    <w:p>
      <w:pPr>
        <w:spacing w:before="0" w:after="0"/>
        <w:ind w:right="745"/>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center"/>
        <w:rPr>
          <w:sz w:val="20"/>
          <w:szCs w:val="20"/>
        </w:rPr>
      </w:pPr>
      <w:r>
        <w:rPr>
          <w:rFonts w:ascii="Arial" w:eastAsia="Arial" w:hAnsi="Arial" w:cs="Arial"/>
          <w:b/>
          <w:bCs/>
          <w:sz w:val="20"/>
          <w:szCs w:val="20"/>
        </w:rPr>
        <w:t>SBD 9</w:t>
      </w:r>
    </w:p>
    <w:p>
      <w:pPr>
        <w:spacing w:before="0" w:after="0"/>
        <w:ind w:right="745"/>
        <w:jc w:val="right"/>
        <w:rPr>
          <w:sz w:val="20"/>
          <w:szCs w:val="20"/>
        </w:rPr>
      </w:pPr>
    </w:p>
    <w:p>
      <w:pPr>
        <w:spacing w:before="0" w:after="0"/>
        <w:ind w:right="745"/>
        <w:jc w:val="right"/>
        <w:rPr>
          <w:sz w:val="20"/>
          <w:szCs w:val="20"/>
        </w:rPr>
      </w:pPr>
    </w:p>
    <w:p>
      <w:pPr>
        <w:spacing w:before="0" w:after="0"/>
        <w:ind w:right="745"/>
        <w:jc w:val="center"/>
        <w:rPr>
          <w:sz w:val="20"/>
          <w:szCs w:val="20"/>
        </w:rPr>
      </w:pPr>
      <w:r>
        <w:rPr>
          <w:rFonts w:ascii="Arial" w:eastAsia="Arial" w:hAnsi="Arial" w:cs="Arial"/>
          <w:b/>
          <w:bCs/>
          <w:sz w:val="20"/>
          <w:szCs w:val="20"/>
        </w:rPr>
        <w:t>CERTIFICATE OF INDEPENDENT BID DETERMINATION</w:t>
      </w:r>
    </w:p>
    <w:p>
      <w:pPr>
        <w:spacing w:before="0" w:after="0" w:line="360" w:lineRule="auto"/>
        <w:rPr>
          <w:sz w:val="20"/>
          <w:szCs w:val="20"/>
        </w:rPr>
      </w:pPr>
    </w:p>
    <w:p>
      <w:pPr>
        <w:spacing w:before="0" w:after="0" w:line="360" w:lineRule="auto"/>
        <w:ind w:left="720" w:hanging="720"/>
        <w:jc w:val="both"/>
        <w:rPr>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z w:val="20"/>
          <w:szCs w:val="20"/>
        </w:rPr>
        <w:t>This Standard Bidding Document (SBD) must form part of all bids¹ invited.</w:t>
      </w:r>
    </w:p>
    <w:p>
      <w:pPr>
        <w:spacing w:before="280" w:after="280" w:line="360" w:lineRule="auto"/>
        <w:ind w:left="851" w:hanging="851"/>
        <w:jc w:val="both"/>
        <w:rPr>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Pr>
          <w:rFonts w:ascii="Arial" w:eastAsia="Arial" w:hAnsi="Arial" w:cs="Arial"/>
          <w:i/>
          <w:iCs/>
          <w:sz w:val="20"/>
          <w:szCs w:val="20"/>
        </w:rPr>
        <w:t>pe se</w:t>
      </w:r>
      <w:r>
        <w:rPr>
          <w:rFonts w:ascii="Arial" w:eastAsia="Arial" w:hAnsi="Arial" w:cs="Arial"/>
          <w:sz w:val="20"/>
          <w:szCs w:val="20"/>
        </w:rPr>
        <w:t xml:space="preserve"> prohibition meaning that it cannot be justified under any grounds.</w:t>
      </w:r>
    </w:p>
    <w:p>
      <w:pPr>
        <w:spacing w:before="0" w:after="0"/>
        <w:ind w:left="720" w:hanging="720"/>
        <w:jc w:val="both"/>
        <w:rPr>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pPr>
        <w:spacing w:before="0" w:after="0"/>
        <w:ind w:left="1080" w:hanging="1080"/>
        <w:jc w:val="both"/>
        <w:rPr>
          <w:sz w:val="20"/>
          <w:szCs w:val="20"/>
        </w:rPr>
      </w:pPr>
    </w:p>
    <w:p>
      <w:pPr>
        <w:spacing w:before="0" w:after="0"/>
        <w:ind w:left="1440" w:hanging="720"/>
        <w:jc w:val="both"/>
        <w:rPr>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z w:val="20"/>
          <w:szCs w:val="20"/>
        </w:rPr>
        <w:t>disregard the bid of any bidder if that bidder, or any of its directors have abused the institution’s supply chain management system and or committed fraud or any other improper conduct in relation to such system.</w:t>
      </w:r>
    </w:p>
    <w:p>
      <w:pPr>
        <w:spacing w:before="0" w:after="0"/>
        <w:ind w:left="1080" w:hanging="1080"/>
        <w:jc w:val="both"/>
        <w:rPr>
          <w:sz w:val="20"/>
          <w:szCs w:val="20"/>
        </w:rPr>
      </w:pPr>
    </w:p>
    <w:p>
      <w:pPr>
        <w:spacing w:before="0" w:after="0"/>
        <w:ind w:left="1440" w:hanging="720"/>
        <w:jc w:val="both"/>
        <w:rPr>
          <w:sz w:val="20"/>
          <w:szCs w:val="20"/>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z w:val="20"/>
          <w:szCs w:val="20"/>
        </w:rPr>
        <w:t>cancel a contract awarded to a supplier of goods and services if the supplier committed any corrupt or fraudulent act during the bidding process or the execution of that contract.</w:t>
      </w:r>
    </w:p>
    <w:p>
      <w:pPr>
        <w:spacing w:before="0" w:after="0"/>
        <w:ind w:left="1440" w:hanging="720"/>
        <w:jc w:val="both"/>
        <w:rPr>
          <w:sz w:val="20"/>
          <w:szCs w:val="20"/>
        </w:rPr>
      </w:pPr>
    </w:p>
    <w:p>
      <w:pPr>
        <w:spacing w:before="0" w:after="0" w:line="360" w:lineRule="auto"/>
        <w:ind w:left="720" w:hanging="720"/>
        <w:jc w:val="both"/>
        <w:rPr>
          <w:sz w:val="20"/>
          <w:szCs w:val="20"/>
        </w:rPr>
      </w:pPr>
      <w:r>
        <w:rPr>
          <w:rFonts w:ascii="Arial" w:eastAsia="Arial" w:hAnsi="Arial" w:cs="Arial"/>
          <w:sz w:val="20"/>
          <w:szCs w:val="20"/>
        </w:rPr>
        <w:t>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This SBD serves as a certificate of declaration that would be used by institutions to ensure that, when bids are considered, reasonable steps are taken to prevent any form of bid-rigging. </w:t>
      </w:r>
    </w:p>
    <w:p>
      <w:pPr>
        <w:spacing w:before="0" w:after="0" w:line="360" w:lineRule="auto"/>
        <w:ind w:left="720" w:hanging="720"/>
        <w:jc w:val="both"/>
        <w:rPr>
          <w:sz w:val="20"/>
          <w:szCs w:val="20"/>
        </w:rPr>
      </w:pPr>
      <w:r>
        <w:rPr>
          <w:rFonts w:ascii="Arial" w:eastAsia="Arial" w:hAnsi="Arial" w:cs="Arial"/>
          <w:sz w:val="20"/>
          <w:szCs w:val="20"/>
        </w:rPr>
        <w:t>5</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 order to give effect to the above, the attached Certificate of Bid Determination (SBD 9) must be completed and submitted with the bid:</w:t>
      </w:r>
    </w:p>
    <w:p>
      <w:pPr>
        <w:spacing w:before="0" w:after="0" w:line="360" w:lineRule="auto"/>
        <w:jc w:val="both"/>
        <w:rPr>
          <w:sz w:val="20"/>
          <w:szCs w:val="20"/>
        </w:rPr>
      </w:pPr>
    </w:p>
    <w:p>
      <w:pPr>
        <w:spacing w:before="0" w:after="0"/>
        <w:jc w:val="both"/>
        <w:rPr>
          <w:sz w:val="20"/>
          <w:szCs w:val="20"/>
        </w:rPr>
      </w:pPr>
      <w:r>
        <w:rPr>
          <w:rFonts w:ascii="Arial" w:eastAsia="Arial" w:hAnsi="Arial" w:cs="Arial"/>
          <w:b/>
          <w:bCs/>
          <w:sz w:val="20"/>
          <w:szCs w:val="20"/>
        </w:rPr>
        <w:t>¹ Includes price quotations, advertised competitive bids, limited bids and proposals.</w:t>
      </w:r>
    </w:p>
    <w:p>
      <w:pPr>
        <w:spacing w:before="0" w:after="0"/>
        <w:jc w:val="both"/>
        <w:rPr>
          <w:sz w:val="20"/>
          <w:szCs w:val="20"/>
        </w:rPr>
      </w:pPr>
    </w:p>
    <w:p>
      <w:pPr>
        <w:spacing w:before="280" w:after="280" w:line="360" w:lineRule="auto"/>
        <w:jc w:val="both"/>
        <w:rPr>
          <w:sz w:val="20"/>
          <w:szCs w:val="20"/>
        </w:rPr>
      </w:pPr>
      <w:r>
        <w:rPr>
          <w:rFonts w:ascii="Arial" w:eastAsia="Arial" w:hAnsi="Arial" w:cs="Arial"/>
          <w:b/>
          <w:bCs/>
          <w:sz w:val="20"/>
          <w:szCs w:val="20"/>
        </w:rPr>
        <w:t>² Bid rigging (or collusive bidding) occurs when businesses, that would otherwise be expected to compete, secretly conspire to raise prices or lower the quality of goods and / or services for purchasers who wish to acquire goods and / or services through a bidding process.</w:t>
      </w:r>
      <w:r>
        <w:rPr>
          <w:rFonts w:ascii="Arial" w:eastAsia="Arial" w:hAnsi="Arial" w:cs="Arial"/>
          <w:b/>
          <w:bCs/>
          <w:sz w:val="20"/>
          <w:szCs w:val="20"/>
        </w:rPr>
        <w:t xml:space="preserve">  </w:t>
      </w:r>
      <w:r>
        <w:rPr>
          <w:rFonts w:ascii="Arial" w:eastAsia="Arial" w:hAnsi="Arial" w:cs="Arial"/>
          <w:b/>
          <w:bCs/>
          <w:sz w:val="20"/>
          <w:szCs w:val="20"/>
        </w:rPr>
        <w:t>Bid rigging is, therefore, an agreement between competitors not to compete.</w:t>
      </w: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rPr>
          <w:sz w:val="20"/>
          <w:szCs w:val="20"/>
        </w:rPr>
      </w:pPr>
    </w:p>
    <w:p>
      <w:pPr>
        <w:spacing w:before="0" w:after="0"/>
        <w:jc w:val="right"/>
        <w:rPr>
          <w:sz w:val="20"/>
          <w:szCs w:val="20"/>
        </w:rPr>
      </w:pPr>
    </w:p>
    <w:p>
      <w:pPr>
        <w:spacing w:before="0"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Arial" w:eastAsia="Arial" w:hAnsi="Arial" w:cs="Arial"/>
          <w:b/>
          <w:bCs/>
          <w:sz w:val="20"/>
          <w:szCs w:val="20"/>
        </w:rPr>
        <w:t>SBD 9</w:t>
      </w:r>
    </w:p>
    <w:p>
      <w:pPr>
        <w:spacing w:before="0" w:after="0"/>
        <w:jc w:val="center"/>
        <w:rPr>
          <w:sz w:val="20"/>
          <w:szCs w:val="20"/>
        </w:rPr>
      </w:pPr>
    </w:p>
    <w:p>
      <w:pPr>
        <w:spacing w:before="0" w:after="0"/>
        <w:jc w:val="center"/>
        <w:rPr>
          <w:sz w:val="20"/>
          <w:szCs w:val="20"/>
        </w:rPr>
      </w:pPr>
    </w:p>
    <w:p>
      <w:pPr>
        <w:spacing w:before="0" w:after="0"/>
        <w:jc w:val="center"/>
        <w:rPr>
          <w:sz w:val="20"/>
          <w:szCs w:val="20"/>
        </w:rPr>
      </w:pPr>
      <w:r>
        <w:rPr>
          <w:rFonts w:ascii="Arial" w:eastAsia="Arial" w:hAnsi="Arial" w:cs="Arial"/>
          <w:b/>
          <w:bCs/>
          <w:sz w:val="20"/>
          <w:szCs w:val="20"/>
        </w:rPr>
        <w:t>CERTIFICATE OF INDEPENDENT BID DETERMINATION</w:t>
      </w:r>
    </w:p>
    <w:p>
      <w:pPr>
        <w:spacing w:before="0" w:after="0"/>
        <w:rPr>
          <w:sz w:val="20"/>
          <w:szCs w:val="20"/>
        </w:rPr>
      </w:pPr>
    </w:p>
    <w:p>
      <w:pPr>
        <w:spacing w:before="0" w:after="0" w:line="360" w:lineRule="auto"/>
        <w:rPr>
          <w:sz w:val="20"/>
          <w:szCs w:val="20"/>
        </w:rPr>
      </w:pPr>
      <w:r>
        <w:rPr>
          <w:rFonts w:ascii="Arial" w:eastAsia="Arial" w:hAnsi="Arial" w:cs="Arial"/>
          <w:sz w:val="20"/>
          <w:szCs w:val="20"/>
        </w:rPr>
        <w:t>I, the undersigned, in submitting the accompanying bid:</w:t>
      </w:r>
    </w:p>
    <w:p>
      <w:pPr>
        <w:spacing w:before="0" w:after="0" w:line="360" w:lineRule="auto"/>
        <w:rPr>
          <w:sz w:val="20"/>
          <w:szCs w:val="20"/>
        </w:rPr>
      </w:pPr>
      <w:r>
        <w:rPr>
          <w:rFonts w:ascii="Arial" w:eastAsia="Arial" w:hAnsi="Arial" w:cs="Arial"/>
          <w:sz w:val="20"/>
          <w:szCs w:val="20"/>
        </w:rPr>
        <w:t>________________________________________________________________________</w:t>
      </w:r>
    </w:p>
    <w:p>
      <w:pPr>
        <w:spacing w:before="0" w:after="0" w:line="360" w:lineRule="auto"/>
        <w:jc w:val="center"/>
        <w:rPr>
          <w:sz w:val="20"/>
          <w:szCs w:val="20"/>
        </w:rPr>
      </w:pPr>
      <w:r>
        <w:rPr>
          <w:rFonts w:ascii="Arial" w:eastAsia="Arial" w:hAnsi="Arial" w:cs="Arial"/>
          <w:sz w:val="20"/>
          <w:szCs w:val="20"/>
        </w:rPr>
        <w:t>(Bid Number and Description)</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in response to the invitation for the bid made by:</w:t>
      </w:r>
    </w:p>
    <w:p>
      <w:pPr>
        <w:spacing w:before="0" w:after="0" w:line="360" w:lineRule="auto"/>
        <w:rPr>
          <w:sz w:val="20"/>
          <w:szCs w:val="20"/>
        </w:rPr>
      </w:pPr>
      <w:r>
        <w:rPr>
          <w:rFonts w:ascii="Arial" w:eastAsia="Arial" w:hAnsi="Arial" w:cs="Arial"/>
          <w:sz w:val="20"/>
          <w:szCs w:val="20"/>
        </w:rPr>
        <w:t>_________________________________________________________________________</w:t>
      </w:r>
    </w:p>
    <w:p>
      <w:pPr>
        <w:spacing w:before="0" w:after="0" w:line="360" w:lineRule="auto"/>
        <w:jc w:val="center"/>
        <w:rPr>
          <w:sz w:val="20"/>
          <w:szCs w:val="20"/>
        </w:rPr>
      </w:pPr>
      <w:r>
        <w:rPr>
          <w:rFonts w:ascii="Arial" w:eastAsia="Arial" w:hAnsi="Arial" w:cs="Arial"/>
          <w:sz w:val="20"/>
          <w:szCs w:val="20"/>
        </w:rPr>
        <w:t>(Name of Institution)</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do hereby make the following statements that I certify to be true and complete in every respect:</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I certify, on behalf of:__________________________________________________ that:</w:t>
      </w:r>
    </w:p>
    <w:p>
      <w:pPr>
        <w:spacing w:before="0" w:after="0" w:line="360" w:lineRule="auto"/>
        <w:jc w:val="center"/>
        <w:rPr>
          <w:sz w:val="20"/>
          <w:szCs w:val="20"/>
        </w:rPr>
      </w:pPr>
      <w:r>
        <w:rPr>
          <w:rFonts w:ascii="Arial" w:eastAsia="Arial" w:hAnsi="Arial" w:cs="Arial"/>
          <w:sz w:val="20"/>
          <w:szCs w:val="20"/>
        </w:rPr>
        <w:t>(Name of Bidder)</w:t>
      </w:r>
    </w:p>
    <w:p>
      <w:pPr>
        <w:numPr>
          <w:ilvl w:val="0"/>
          <w:numId w:val="41"/>
        </w:numPr>
        <w:pBdr>
          <w:left w:val="none" w:sz="0" w:space="4" w:color="auto"/>
        </w:pBdr>
        <w:spacing w:before="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I have read and I understand the contents of this Certificate;</w:t>
      </w:r>
    </w:p>
    <w:p>
      <w:pPr>
        <w:numPr>
          <w:ilvl w:val="0"/>
          <w:numId w:val="41"/>
        </w:numPr>
        <w:pBdr>
          <w:left w:val="none" w:sz="0" w:space="4" w:color="auto"/>
        </w:pBdr>
        <w:spacing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I understand that the accompanying bid will be disqualified if this Certificate is found not to be true and complete in every respect;</w:t>
      </w:r>
    </w:p>
    <w:p>
      <w:pPr>
        <w:numPr>
          <w:ilvl w:val="0"/>
          <w:numId w:val="41"/>
        </w:numPr>
        <w:pBdr>
          <w:left w:val="none" w:sz="0" w:space="4" w:color="auto"/>
        </w:pBdr>
        <w:spacing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I am authorized by the bidder to sign this Certificate, and to submit the accompanying bid, on behalf of the bidder;</w:t>
      </w:r>
    </w:p>
    <w:p>
      <w:pPr>
        <w:numPr>
          <w:ilvl w:val="0"/>
          <w:numId w:val="41"/>
        </w:numPr>
        <w:pBdr>
          <w:left w:val="none" w:sz="0" w:space="4" w:color="auto"/>
        </w:pBdr>
        <w:spacing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Each person whose signature appears on the accompanying bid has been authorized by the bidder to determine the terms of, and to sign the bid, on behalf of the bidder;</w:t>
      </w:r>
    </w:p>
    <w:p>
      <w:pPr>
        <w:numPr>
          <w:ilvl w:val="0"/>
          <w:numId w:val="41"/>
        </w:numPr>
        <w:pBdr>
          <w:left w:val="none" w:sz="0" w:space="4" w:color="auto"/>
        </w:pBdr>
        <w:spacing w:after="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For the purposes of this Certificate and the accompanying bid, I understand that the word “competitor” shall include any individual or organization, other than the bidder, whether or not affiliated with the bidder, who:</w:t>
      </w:r>
    </w:p>
    <w:p>
      <w:pPr>
        <w:spacing w:before="0" w:after="0" w:line="360" w:lineRule="auto"/>
        <w:ind w:left="773" w:firstLine="667"/>
        <w:jc w:val="both"/>
        <w:rPr>
          <w:sz w:val="20"/>
          <w:szCs w:val="20"/>
        </w:rPr>
      </w:pPr>
    </w:p>
    <w:p>
      <w:pPr>
        <w:spacing w:before="0" w:after="0" w:line="360" w:lineRule="auto"/>
        <w:ind w:left="773" w:firstLine="667"/>
        <w:jc w:val="both"/>
        <w:rPr>
          <w:sz w:val="20"/>
          <w:szCs w:val="20"/>
        </w:rPr>
      </w:pPr>
      <w:r>
        <w:rPr>
          <w:rFonts w:ascii="Arial" w:eastAsia="Arial" w:hAnsi="Arial" w:cs="Arial"/>
          <w:sz w:val="20"/>
          <w:szCs w:val="20"/>
        </w:rPr>
        <w:t xml:space="preserve">(a) </w:t>
      </w:r>
      <w:r>
        <w:rPr>
          <w:rFonts w:ascii="Arial" w:eastAsia="Arial" w:hAnsi="Arial" w:cs="Arial"/>
          <w:sz w:val="20"/>
          <w:szCs w:val="20"/>
        </w:rPr>
        <w:tab/>
      </w:r>
      <w:r>
        <w:rPr>
          <w:rFonts w:ascii="Arial" w:eastAsia="Arial" w:hAnsi="Arial" w:cs="Arial"/>
          <w:sz w:val="20"/>
          <w:szCs w:val="20"/>
        </w:rPr>
        <w:t>has been requested to submit a bid in response to this bid invitation;</w:t>
      </w:r>
    </w:p>
    <w:p>
      <w:pPr>
        <w:spacing w:before="0" w:after="0" w:line="360" w:lineRule="auto"/>
        <w:ind w:left="2160" w:hanging="720"/>
        <w:jc w:val="both"/>
        <w:rPr>
          <w:sz w:val="20"/>
          <w:szCs w:val="20"/>
        </w:rPr>
      </w:pPr>
      <w:r>
        <w:rPr>
          <w:rFonts w:ascii="Arial" w:eastAsia="Arial" w:hAnsi="Arial" w:cs="Arial"/>
          <w:sz w:val="20"/>
          <w:szCs w:val="20"/>
        </w:rPr>
        <w:t xml:space="preserve">(b) </w:t>
      </w:r>
      <w:r>
        <w:rPr>
          <w:rFonts w:ascii="Arial" w:eastAsia="Arial" w:hAnsi="Arial" w:cs="Arial"/>
          <w:sz w:val="20"/>
          <w:szCs w:val="20"/>
        </w:rPr>
        <w:tab/>
      </w:r>
      <w:r>
        <w:rPr>
          <w:rFonts w:ascii="Arial" w:eastAsia="Arial" w:hAnsi="Arial" w:cs="Arial"/>
          <w:sz w:val="20"/>
          <w:szCs w:val="20"/>
        </w:rPr>
        <w:t>could potentially submit a bid in response to this bid invitation, based on their qualifications, abilities or experience; and</w:t>
      </w:r>
    </w:p>
    <w:p>
      <w:pPr>
        <w:spacing w:before="0" w:after="0" w:line="360" w:lineRule="auto"/>
        <w:ind w:left="2160" w:hanging="720"/>
        <w:jc w:val="both"/>
        <w:rPr>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z w:val="20"/>
          <w:szCs w:val="20"/>
        </w:rPr>
        <w:t>provides the same goods and services as the bidder and/or is in the same line of business as the bidder</w:t>
      </w:r>
    </w:p>
    <w:p>
      <w:pPr>
        <w:spacing w:before="0" w:after="0" w:line="360" w:lineRule="auto"/>
        <w:ind w:left="2160" w:hanging="720"/>
        <w:jc w:val="right"/>
        <w:rPr>
          <w:sz w:val="20"/>
          <w:szCs w:val="20"/>
        </w:rPr>
      </w:pPr>
    </w:p>
    <w:p>
      <w:pPr>
        <w:numPr>
          <w:ilvl w:val="0"/>
          <w:numId w:val="42"/>
        </w:numPr>
        <w:pBdr>
          <w:left w:val="none" w:sz="0" w:space="4" w:color="auto"/>
        </w:pBdr>
        <w:spacing w:before="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The bidder has arrived at the accompanying bid independently from, and without consultation, communication, agreement or arrangement with any competitor.</w:t>
      </w:r>
      <w:r>
        <w:rPr>
          <w:rFonts w:ascii="Arial" w:eastAsia="Arial" w:hAnsi="Arial" w:cs="Arial"/>
          <w:b w:val="0"/>
          <w:bCs w:val="0"/>
          <w:sz w:val="20"/>
          <w:szCs w:val="20"/>
        </w:rPr>
        <w:t>However communication between partners in a joint venture or consortium</w:t>
      </w:r>
      <w:r>
        <w:rPr>
          <w:rFonts w:ascii="Arial" w:eastAsia="Arial" w:hAnsi="Arial" w:cs="Arial"/>
          <w:b w:val="0"/>
          <w:bCs w:val="0"/>
          <w:sz w:val="20"/>
          <w:szCs w:val="20"/>
        </w:rPr>
        <w:t>³</w:t>
      </w:r>
      <w:r>
        <w:rPr>
          <w:rFonts w:ascii="Arial" w:eastAsia="Arial" w:hAnsi="Arial" w:cs="Arial"/>
          <w:b w:val="0"/>
          <w:bCs w:val="0"/>
          <w:sz w:val="20"/>
          <w:szCs w:val="20"/>
        </w:rPr>
        <w:t xml:space="preserve"> will not be construed as collusive bidding.</w:t>
      </w:r>
    </w:p>
    <w:p>
      <w:pPr>
        <w:numPr>
          <w:ilvl w:val="0"/>
          <w:numId w:val="42"/>
        </w:numPr>
        <w:pBdr>
          <w:left w:val="none" w:sz="0" w:space="4" w:color="auto"/>
        </w:pBdr>
        <w:spacing w:after="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In particular, without limiting the generality of paragraphs 6 above, there has been no consultation, communication, agreement or arrangement with any competitor regarding:</w:t>
      </w:r>
    </w:p>
    <w:p>
      <w:pPr>
        <w:spacing w:before="0" w:after="0" w:line="360" w:lineRule="auto"/>
        <w:ind w:left="851" w:firstLine="307"/>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prices;</w:t>
      </w:r>
      <w:r>
        <w:rPr>
          <w:rFonts w:ascii="Arial" w:eastAsia="Arial" w:hAnsi="Arial" w:cs="Arial"/>
          <w:sz w:val="20"/>
          <w:szCs w:val="20"/>
        </w:rPr>
        <w:t xml:space="preserve">      </w:t>
      </w:r>
    </w:p>
    <w:p>
      <w:pPr>
        <w:spacing w:before="0" w:after="0" w:line="360" w:lineRule="auto"/>
        <w:ind w:left="2160" w:hanging="72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geographical area where product or service will be rendered (market allocation)</w:t>
      </w:r>
      <w:r>
        <w:rPr>
          <w:rFonts w:ascii="Arial" w:eastAsia="Arial" w:hAnsi="Arial" w:cs="Arial"/>
          <w:sz w:val="20"/>
          <w:szCs w:val="20"/>
        </w:rPr>
        <w:t xml:space="preserve">  </w:t>
      </w:r>
    </w:p>
    <w:p>
      <w:pPr>
        <w:spacing w:before="0" w:after="0" w:line="360" w:lineRule="auto"/>
        <w:ind w:left="773" w:firstLine="667"/>
        <w:jc w:val="both"/>
        <w:rPr>
          <w:sz w:val="20"/>
          <w:szCs w:val="20"/>
        </w:rPr>
      </w:pPr>
      <w:r>
        <w:rPr>
          <w:rFonts w:ascii="Arial" w:eastAsia="Arial" w:hAnsi="Arial" w:cs="Arial"/>
          <w:sz w:val="20"/>
          <w:szCs w:val="20"/>
        </w:rPr>
        <w:t>(c)</w:t>
      </w:r>
      <w:r>
        <w:rPr>
          <w:rFonts w:ascii="Arial" w:eastAsia="Arial" w:hAnsi="Arial" w:cs="Arial"/>
          <w:sz w:val="20"/>
          <w:szCs w:val="20"/>
        </w:rPr>
        <w:t xml:space="preserve">  </w:t>
      </w:r>
      <w:r>
        <w:rPr>
          <w:rFonts w:ascii="Arial" w:eastAsia="Arial" w:hAnsi="Arial" w:cs="Arial"/>
          <w:sz w:val="20"/>
          <w:szCs w:val="20"/>
        </w:rPr>
        <w:t>methods, factors or formulas used to calculate prices;</w:t>
      </w:r>
    </w:p>
    <w:p>
      <w:pPr>
        <w:spacing w:before="0" w:after="0" w:line="360" w:lineRule="auto"/>
        <w:ind w:left="773" w:firstLine="667"/>
        <w:jc w:val="both"/>
        <w:rPr>
          <w:sz w:val="20"/>
          <w:szCs w:val="20"/>
        </w:rPr>
      </w:pPr>
      <w:r>
        <w:rPr>
          <w:rFonts w:ascii="Arial" w:eastAsia="Arial" w:hAnsi="Arial" w:cs="Arial"/>
          <w:sz w:val="20"/>
          <w:szCs w:val="20"/>
        </w:rPr>
        <w:t>(d)</w:t>
      </w:r>
      <w:r>
        <w:rPr>
          <w:rFonts w:ascii="Arial" w:eastAsia="Arial" w:hAnsi="Arial" w:cs="Arial"/>
          <w:sz w:val="20"/>
          <w:szCs w:val="20"/>
        </w:rPr>
        <w:t xml:space="preserve">  </w:t>
      </w:r>
      <w:r>
        <w:rPr>
          <w:rFonts w:ascii="Arial" w:eastAsia="Arial" w:hAnsi="Arial" w:cs="Arial"/>
          <w:sz w:val="20"/>
          <w:szCs w:val="20"/>
        </w:rPr>
        <w:t xml:space="preserve">the intention or decision to submit or not to submit, a bid; </w:t>
      </w:r>
    </w:p>
    <w:p>
      <w:pPr>
        <w:spacing w:before="0" w:after="0" w:line="360" w:lineRule="auto"/>
        <w:ind w:left="2160" w:hanging="720"/>
        <w:jc w:val="both"/>
        <w:rPr>
          <w:sz w:val="20"/>
          <w:szCs w:val="20"/>
        </w:rPr>
      </w:pP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the submission of a bid which does not meet the specifications and conditions of the bid; or</w:t>
      </w:r>
    </w:p>
    <w:p>
      <w:pPr>
        <w:spacing w:before="0" w:after="0" w:line="360" w:lineRule="auto"/>
        <w:ind w:left="2160" w:hanging="720"/>
        <w:jc w:val="both"/>
        <w:rPr>
          <w:sz w:val="20"/>
          <w:szCs w:val="20"/>
        </w:rPr>
      </w:pPr>
      <w:r>
        <w:rPr>
          <w:rFonts w:ascii="Arial" w:eastAsia="Arial" w:hAnsi="Arial" w:cs="Arial"/>
          <w:sz w:val="20"/>
          <w:szCs w:val="20"/>
        </w:rPr>
        <w:t>(f)</w:t>
      </w:r>
      <w:r>
        <w:rPr>
          <w:rFonts w:ascii="Arial" w:eastAsia="Arial" w:hAnsi="Arial" w:cs="Arial"/>
          <w:sz w:val="20"/>
          <w:szCs w:val="20"/>
        </w:rPr>
        <w:t xml:space="preserve">        </w:t>
      </w:r>
      <w:r>
        <w:rPr>
          <w:rFonts w:ascii="Arial" w:eastAsia="Arial" w:hAnsi="Arial" w:cs="Arial"/>
          <w:sz w:val="20"/>
          <w:szCs w:val="20"/>
        </w:rPr>
        <w:t>bidding with the intention not to win the bid.</w:t>
      </w:r>
    </w:p>
    <w:p>
      <w:pPr>
        <w:numPr>
          <w:ilvl w:val="0"/>
          <w:numId w:val="43"/>
        </w:numPr>
        <w:pBdr>
          <w:left w:val="none" w:sz="0" w:space="4" w:color="auto"/>
        </w:pBdr>
        <w:spacing w:before="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pPr>
        <w:numPr>
          <w:ilvl w:val="0"/>
          <w:numId w:val="43"/>
        </w:numPr>
        <w:pBdr>
          <w:left w:val="none" w:sz="0" w:space="4" w:color="auto"/>
        </w:pBdr>
        <w:spacing w:after="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The terms of the accompanying bid have not been, and will not be, disclosed by the bidder, directly or indirectly, to any competitor, prior to the date and time of the official bid opening or of the awarding of the contract.</w:t>
      </w:r>
    </w:p>
    <w:p>
      <w:pPr>
        <w:spacing w:before="0" w:after="0"/>
        <w:rPr>
          <w:sz w:val="20"/>
          <w:szCs w:val="20"/>
        </w:rPr>
      </w:pPr>
      <w:r>
        <w:rPr>
          <w:rFonts w:ascii="Arial" w:eastAsia="Arial" w:hAnsi="Arial" w:cs="Arial"/>
          <w:b/>
          <w:bCs/>
          <w:sz w:val="20"/>
          <w:szCs w:val="20"/>
        </w:rPr>
        <w:t>³ Joint venture or Consortium means an association of persons for the purpose of combining their expertise, property, capital, efforts, skill and knowledge in an activity for the execution of a contract.</w:t>
      </w:r>
    </w:p>
    <w:p>
      <w:pPr>
        <w:spacing w:before="0" w:after="0"/>
        <w:rPr>
          <w:sz w:val="20"/>
          <w:szCs w:val="20"/>
        </w:rPr>
      </w:pPr>
    </w:p>
    <w:p>
      <w:pPr>
        <w:spacing w:before="0" w:after="0"/>
        <w:jc w:val="right"/>
        <w:rPr>
          <w:sz w:val="20"/>
          <w:szCs w:val="20"/>
        </w:rPr>
      </w:pPr>
    </w:p>
    <w:p>
      <w:pPr>
        <w:numPr>
          <w:ilvl w:val="0"/>
          <w:numId w:val="44"/>
        </w:numPr>
        <w:spacing w:before="0" w:after="0" w:line="360" w:lineRule="auto"/>
        <w:ind w:left="773" w:right="0" w:hanging="350"/>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pPr>
        <w:spacing w:before="0" w:after="0" w:line="360" w:lineRule="auto"/>
        <w:ind w:left="413"/>
        <w:jc w:val="both"/>
        <w:rPr>
          <w:sz w:val="20"/>
          <w:szCs w:val="20"/>
        </w:rPr>
      </w:pPr>
    </w:p>
    <w:p>
      <w:pPr>
        <w:spacing w:before="0" w:after="0" w:line="360" w:lineRule="auto"/>
        <w:ind w:left="413"/>
        <w:jc w:val="both"/>
        <w:rPr>
          <w:sz w:val="20"/>
          <w:szCs w:val="20"/>
        </w:rPr>
      </w:pPr>
      <w:r>
        <w:rPr>
          <w:rFonts w:ascii="Arial" w:eastAsia="Arial" w:hAnsi="Arial" w:cs="Arial"/>
          <w:sz w:val="20"/>
          <w:szCs w:val="20"/>
        </w:rPr>
        <w:t xml:space="preserve"> </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w:t>
      </w:r>
    </w:p>
    <w:p>
      <w:pPr>
        <w:spacing w:before="0" w:after="0" w:line="360" w:lineRule="auto"/>
        <w:ind w:left="413"/>
        <w:jc w:val="both"/>
        <w:rPr>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Date</w:t>
      </w:r>
    </w:p>
    <w:p>
      <w:pPr>
        <w:spacing w:before="0" w:after="0" w:line="360" w:lineRule="auto"/>
        <w:ind w:left="413"/>
        <w:jc w:val="both"/>
        <w:rPr>
          <w:sz w:val="20"/>
          <w:szCs w:val="20"/>
        </w:rPr>
      </w:pPr>
    </w:p>
    <w:p>
      <w:pPr>
        <w:spacing w:before="0" w:after="0" w:line="360" w:lineRule="auto"/>
        <w:ind w:left="413"/>
        <w:jc w:val="both"/>
        <w:rPr>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w:t>
      </w:r>
    </w:p>
    <w:p>
      <w:pPr>
        <w:spacing w:before="0" w:after="0" w:line="360" w:lineRule="auto"/>
        <w:ind w:left="413"/>
        <w:jc w:val="both"/>
        <w:rPr>
          <w:sz w:val="20"/>
          <w:szCs w:val="20"/>
        </w:rPr>
      </w:pPr>
      <w:r>
        <w:rPr>
          <w:rFonts w:ascii="Arial" w:eastAsia="Arial" w:hAnsi="Arial" w:cs="Arial"/>
          <w:sz w:val="20"/>
          <w:szCs w:val="20"/>
        </w:rPr>
        <w:t xml:space="preserve">Position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Name of Bidder</w:t>
      </w:r>
    </w:p>
    <w:p>
      <w:pPr>
        <w:spacing w:before="0"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spacing w:before="0"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61" w:after="200"/>
        <w:ind w:left="2250" w:right="2006"/>
        <w:jc w:val="center"/>
        <w:rPr>
          <w:sz w:val="22"/>
          <w:szCs w:val="22"/>
        </w:rPr>
      </w:pPr>
      <w:r>
        <w:rPr>
          <w:rFonts w:ascii="Calibri" w:eastAsia="Calibri" w:hAnsi="Calibri" w:cs="Calibri"/>
          <w:b/>
          <w:bCs/>
          <w:sz w:val="22"/>
          <w:szCs w:val="22"/>
        </w:rPr>
        <w:t>THE</w:t>
      </w:r>
      <w:r>
        <w:rPr>
          <w:rFonts w:ascii="Calibri" w:eastAsia="Calibri" w:hAnsi="Calibri" w:cs="Calibri"/>
          <w:b/>
          <w:bCs/>
          <w:spacing w:val="-3"/>
          <w:sz w:val="22"/>
          <w:szCs w:val="22"/>
        </w:rPr>
        <w:t xml:space="preserve"> </w:t>
      </w:r>
      <w:r>
        <w:rPr>
          <w:rFonts w:ascii="Calibri" w:eastAsia="Calibri" w:hAnsi="Calibri" w:cs="Calibri"/>
          <w:b/>
          <w:bCs/>
          <w:sz w:val="22"/>
          <w:szCs w:val="22"/>
        </w:rPr>
        <w:t>N</w:t>
      </w:r>
      <w:r>
        <w:rPr>
          <w:rFonts w:ascii="Calibri" w:eastAsia="Calibri" w:hAnsi="Calibri" w:cs="Calibri"/>
          <w:b/>
          <w:bCs/>
          <w:spacing w:val="-27"/>
          <w:sz w:val="22"/>
          <w:szCs w:val="22"/>
        </w:rPr>
        <w:t>A</w:t>
      </w:r>
      <w:r>
        <w:rPr>
          <w:rFonts w:ascii="Calibri" w:eastAsia="Calibri" w:hAnsi="Calibri" w:cs="Calibri"/>
          <w:b/>
          <w:bCs/>
          <w:sz w:val="22"/>
          <w:szCs w:val="22"/>
        </w:rPr>
        <w:t>TIONAL</w:t>
      </w:r>
      <w:r>
        <w:rPr>
          <w:rFonts w:ascii="Calibri" w:eastAsia="Calibri" w:hAnsi="Calibri" w:cs="Calibri"/>
          <w:b/>
          <w:bCs/>
          <w:spacing w:val="-13"/>
          <w:sz w:val="22"/>
          <w:szCs w:val="22"/>
        </w:rPr>
        <w:t xml:space="preserve"> </w:t>
      </w:r>
      <w:r>
        <w:rPr>
          <w:rFonts w:ascii="Calibri" w:eastAsia="Calibri" w:hAnsi="Calibri" w:cs="Calibri"/>
          <w:b/>
          <w:bCs/>
          <w:sz w:val="22"/>
          <w:szCs w:val="22"/>
        </w:rPr>
        <w:t>TREASU</w:t>
      </w:r>
      <w:r>
        <w:rPr>
          <w:rFonts w:ascii="Calibri" w:eastAsia="Calibri" w:hAnsi="Calibri" w:cs="Calibri"/>
          <w:b/>
          <w:bCs/>
          <w:spacing w:val="-13"/>
          <w:sz w:val="22"/>
          <w:szCs w:val="22"/>
        </w:rPr>
        <w:t>R</w:t>
      </w:r>
      <w:r>
        <w:rPr>
          <w:rFonts w:ascii="Calibri" w:eastAsia="Calibri" w:hAnsi="Calibri" w:cs="Calibri"/>
          <w:b/>
          <w:bCs/>
          <w:sz w:val="22"/>
          <w:szCs w:val="22"/>
        </w:rPr>
        <w:t>Y</w:t>
      </w:r>
    </w:p>
    <w:p>
      <w:pPr>
        <w:spacing w:before="0" w:after="200" w:line="200" w:lineRule="atLeast"/>
      </w:pPr>
    </w:p>
    <w:p>
      <w:pPr>
        <w:spacing w:before="8" w:after="200" w:line="280" w:lineRule="atLeast"/>
      </w:pPr>
    </w:p>
    <w:p>
      <w:pPr>
        <w:spacing w:before="0" w:after="200" w:line="361" w:lineRule="atLeast"/>
        <w:ind w:left="2480" w:right="2274"/>
        <w:jc w:val="center"/>
      </w:pPr>
      <w:r>
        <w:rPr>
          <w:rFonts w:ascii="Calibri" w:eastAsia="Calibri" w:hAnsi="Calibri" w:cs="Calibri"/>
          <w:b/>
          <w:bCs/>
          <w:spacing w:val="-2"/>
          <w:position w:val="-1"/>
          <w:sz w:val="22"/>
          <w:szCs w:val="22"/>
        </w:rPr>
        <w:t>Republi</w:t>
      </w:r>
      <w:r>
        <w:rPr>
          <w:rFonts w:ascii="Calibri" w:eastAsia="Calibri" w:hAnsi="Calibri" w:cs="Calibri"/>
          <w:b/>
          <w:bCs/>
          <w:position w:val="-1"/>
          <w:sz w:val="22"/>
          <w:szCs w:val="22"/>
        </w:rPr>
        <w:t>c</w:t>
      </w:r>
      <w:r>
        <w:rPr>
          <w:rFonts w:ascii="Calibri" w:eastAsia="Calibri" w:hAnsi="Calibri" w:cs="Calibri"/>
          <w:b/>
          <w:bCs/>
          <w:spacing w:val="-5"/>
          <w:position w:val="-1"/>
          <w:sz w:val="22"/>
          <w:szCs w:val="22"/>
        </w:rPr>
        <w:t xml:space="preserve"> </w:t>
      </w:r>
      <w:r>
        <w:rPr>
          <w:rFonts w:ascii="Calibri" w:eastAsia="Calibri" w:hAnsi="Calibri" w:cs="Calibri"/>
          <w:b/>
          <w:bCs/>
          <w:spacing w:val="-2"/>
          <w:position w:val="-1"/>
          <w:sz w:val="22"/>
          <w:szCs w:val="22"/>
        </w:rPr>
        <w:t>o</w:t>
      </w:r>
      <w:r>
        <w:rPr>
          <w:rFonts w:ascii="Calibri" w:eastAsia="Calibri" w:hAnsi="Calibri" w:cs="Calibri"/>
          <w:b/>
          <w:bCs/>
          <w:position w:val="-1"/>
          <w:sz w:val="22"/>
          <w:szCs w:val="22"/>
        </w:rPr>
        <w:t>f</w:t>
      </w:r>
      <w:r>
        <w:rPr>
          <w:rFonts w:ascii="Calibri" w:eastAsia="Calibri" w:hAnsi="Calibri" w:cs="Calibri"/>
          <w:b/>
          <w:bCs/>
          <w:spacing w:val="-5"/>
          <w:position w:val="-1"/>
          <w:sz w:val="22"/>
          <w:szCs w:val="22"/>
        </w:rPr>
        <w:t xml:space="preserve"> </w:t>
      </w:r>
      <w:r>
        <w:rPr>
          <w:rFonts w:ascii="Calibri" w:eastAsia="Calibri" w:hAnsi="Calibri" w:cs="Calibri"/>
          <w:b/>
          <w:bCs/>
          <w:spacing w:val="-2"/>
          <w:position w:val="-1"/>
          <w:sz w:val="22"/>
          <w:szCs w:val="22"/>
        </w:rPr>
        <w:t>Sout</w:t>
      </w:r>
      <w:r>
        <w:rPr>
          <w:rFonts w:ascii="Calibri" w:eastAsia="Calibri" w:hAnsi="Calibri" w:cs="Calibri"/>
          <w:b/>
          <w:bCs/>
          <w:position w:val="-1"/>
          <w:sz w:val="22"/>
          <w:szCs w:val="22"/>
        </w:rPr>
        <w:t>h</w:t>
      </w:r>
      <w:r>
        <w:rPr>
          <w:rFonts w:ascii="Calibri" w:eastAsia="Calibri" w:hAnsi="Calibri" w:cs="Calibri"/>
          <w:b/>
          <w:bCs/>
          <w:spacing w:val="-5"/>
          <w:position w:val="-1"/>
          <w:sz w:val="22"/>
          <w:szCs w:val="22"/>
        </w:rPr>
        <w:t xml:space="preserve"> </w:t>
      </w:r>
      <w:r>
        <w:rPr>
          <w:rFonts w:ascii="Calibri" w:eastAsia="Calibri" w:hAnsi="Calibri" w:cs="Calibri"/>
          <w:b/>
          <w:bCs/>
          <w:spacing w:val="-2"/>
          <w:position w:val="-1"/>
          <w:sz w:val="22"/>
          <w:szCs w:val="22"/>
        </w:rPr>
        <w:t>Africa</w:t>
      </w:r>
    </w:p>
    <w:p>
      <w:pPr>
        <w:spacing w:before="0" w:after="200" w:line="200" w:lineRule="atLeast"/>
      </w:pPr>
    </w:p>
    <w:p>
      <w:pPr>
        <w:spacing w:before="0" w:after="200" w:line="200" w:lineRule="atLeast"/>
      </w:pPr>
    </w:p>
    <w:p>
      <w:pPr>
        <w:spacing w:before="0" w:after="200" w:line="200" w:lineRule="atLeast"/>
      </w:pPr>
    </w:p>
    <w:p>
      <w:pPr>
        <w:spacing w:before="0" w:after="200" w:line="200" w:lineRule="atLeast"/>
      </w:pPr>
    </w:p>
    <w:p>
      <w:pPr>
        <w:spacing w:before="0" w:after="200" w:line="220" w:lineRule="atLeast"/>
      </w:pPr>
    </w:p>
    <w:p>
      <w:pPr>
        <w:spacing w:before="0" w:after="200"/>
        <w:ind w:left="2398"/>
        <w:rPr>
          <w:sz w:val="22"/>
          <w:szCs w:val="22"/>
        </w:rPr>
      </w:pPr>
      <w:r>
        <w:rPr>
          <w:strike w:val="0"/>
          <w:sz w:val="22"/>
          <w:szCs w:val="22"/>
          <w:u w:val="none"/>
        </w:rPr>
        <w:drawing>
          <wp:inline>
            <wp:extent cx="2514600" cy="3095625"/>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xmlns:r="http://schemas.openxmlformats.org/officeDocument/2006/relationships" r:embed="rId14"/>
                    <a:stretch>
                      <a:fillRect/>
                    </a:stretch>
                  </pic:blipFill>
                  <pic:spPr>
                    <a:xfrm>
                      <a:off x="0" y="0"/>
                      <a:ext cx="2514600" cy="3095625"/>
                    </a:xfrm>
                    <a:prstGeom prst="rect">
                      <a:avLst/>
                    </a:prstGeom>
                  </pic:spPr>
                </pic:pic>
              </a:graphicData>
            </a:graphic>
          </wp:inline>
        </w:drawing>
      </w:r>
    </w:p>
    <w:p>
      <w:pPr>
        <w:spacing w:before="0" w:after="200" w:line="200" w:lineRule="atLeast"/>
      </w:pPr>
      <w:r>
        <w:rPr>
          <w:rFonts w:ascii="Calibri" w:eastAsia="Calibri" w:hAnsi="Calibri" w:cs="Calibri"/>
          <w:sz w:val="22"/>
          <w:szCs w:val="22"/>
        </w:rPr>
        <w:t xml:space="preserve">       </w:t>
      </w:r>
    </w:p>
    <w:p>
      <w:pPr>
        <w:spacing w:before="0" w:after="200" w:line="200" w:lineRule="atLeast"/>
      </w:pPr>
    </w:p>
    <w:p>
      <w:pPr>
        <w:spacing w:before="0" w:after="200" w:line="200" w:lineRule="atLeast"/>
      </w:pPr>
    </w:p>
    <w:p>
      <w:pPr>
        <w:spacing w:before="19" w:after="200" w:line="478" w:lineRule="auto"/>
        <w:ind w:right="1099"/>
        <w:rPr>
          <w:sz w:val="22"/>
          <w:szCs w:val="22"/>
        </w:rPr>
      </w:pPr>
      <w:r>
        <w:rPr>
          <w:strike w:val="0"/>
          <w:sz w:val="22"/>
          <w:szCs w:val="22"/>
          <w:u w:val="none"/>
        </w:rPr>
        <w:drawing>
          <wp:anchor simplePos="0" relativeHeight="251660288" behindDoc="1" locked="0" layoutInCell="1" allowOverlap="1">
            <wp:simplePos x="0" y="0"/>
            <wp:positionH relativeFrom="page">
              <wp:posOffset>1217930</wp:posOffset>
            </wp:positionH>
            <wp:positionV relativeFrom="paragraph">
              <wp:posOffset>-579755</wp:posOffset>
            </wp:positionV>
            <wp:extent cx="4400550" cy="19050"/>
            <wp:wrapNone/>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15"/>
                    <a:stretch>
                      <a:fillRect/>
                    </a:stretch>
                  </pic:blipFill>
                  <pic:spPr>
                    <a:xfrm>
                      <a:off x="0" y="0"/>
                      <a:ext cx="4400550" cy="19050"/>
                    </a:xfrm>
                    <a:prstGeom prst="rect">
                      <a:avLst/>
                    </a:prstGeom>
                  </pic:spPr>
                </pic:pic>
              </a:graphicData>
            </a:graphic>
          </wp:anchor>
        </w:drawing>
      </w:r>
      <w:r>
        <w:rPr>
          <w:rFonts w:ascii="Calibri" w:eastAsia="Calibri" w:hAnsi="Calibri" w:cs="Calibri"/>
          <w:b/>
          <w:bCs/>
          <w:spacing w:val="-2"/>
          <w:sz w:val="22"/>
          <w:szCs w:val="22"/>
        </w:rPr>
        <w:t xml:space="preserve">           </w:t>
      </w:r>
      <w:r>
        <w:rPr>
          <w:rFonts w:ascii="Calibri" w:eastAsia="Calibri" w:hAnsi="Calibri" w:cs="Calibri"/>
          <w:b/>
          <w:bCs/>
          <w:spacing w:val="-2"/>
          <w:sz w:val="22"/>
          <w:szCs w:val="22"/>
        </w:rPr>
        <w:t>GOVERNMEN</w:t>
      </w:r>
      <w:r>
        <w:rPr>
          <w:rFonts w:ascii="Calibri" w:eastAsia="Calibri" w:hAnsi="Calibri" w:cs="Calibri"/>
          <w:b/>
          <w:bCs/>
          <w:sz w:val="22"/>
          <w:szCs w:val="22"/>
        </w:rPr>
        <w:t>T</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PROCUREMENT: GENERA</w:t>
      </w:r>
      <w:r>
        <w:rPr>
          <w:rFonts w:ascii="Calibri" w:eastAsia="Calibri" w:hAnsi="Calibri" w:cs="Calibri"/>
          <w:b/>
          <w:bCs/>
          <w:sz w:val="22"/>
          <w:szCs w:val="22"/>
        </w:rPr>
        <w:t>L</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CONDITION</w:t>
      </w:r>
      <w:r>
        <w:rPr>
          <w:rFonts w:ascii="Calibri" w:eastAsia="Calibri" w:hAnsi="Calibri" w:cs="Calibri"/>
          <w:b/>
          <w:bCs/>
          <w:sz w:val="22"/>
          <w:szCs w:val="22"/>
        </w:rPr>
        <w:t>S</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O</w:t>
      </w:r>
      <w:r>
        <w:rPr>
          <w:rFonts w:ascii="Calibri" w:eastAsia="Calibri" w:hAnsi="Calibri" w:cs="Calibri"/>
          <w:b/>
          <w:bCs/>
          <w:sz w:val="22"/>
          <w:szCs w:val="22"/>
        </w:rPr>
        <w:t>F</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CONTRACT</w:t>
      </w:r>
    </w:p>
    <w:p>
      <w:pPr>
        <w:spacing w:before="4" w:after="200" w:line="170" w:lineRule="atLeast"/>
      </w:pPr>
    </w:p>
    <w:p>
      <w:pPr>
        <w:spacing w:before="0" w:after="200" w:line="200" w:lineRule="atLeast"/>
      </w:pPr>
    </w:p>
    <w:p>
      <w:pPr>
        <w:spacing w:before="0" w:after="200"/>
        <w:ind w:left="2954" w:right="4043"/>
        <w:jc w:val="center"/>
        <w:rPr>
          <w:sz w:val="22"/>
          <w:szCs w:val="22"/>
        </w:rPr>
      </w:pPr>
      <w:r>
        <w:rPr>
          <w:rFonts w:ascii="Calibri" w:eastAsia="Calibri" w:hAnsi="Calibri" w:cs="Calibri"/>
          <w:b/>
          <w:bCs/>
          <w:sz w:val="22"/>
          <w:szCs w:val="22"/>
        </w:rPr>
        <w:t>July 2010</w:t>
      </w:r>
    </w:p>
    <w:p>
      <w:pPr>
        <w:sectPr>
          <w:type w:val="nextPage"/>
          <w:pgSz w:w="11906" w:h="16838"/>
          <w:pgMar w:top="990" w:right="1300" w:bottom="960" w:left="1680" w:header="708" w:footer="708"/>
          <w:cols w:space="708"/>
        </w:sectPr>
      </w:pPr>
    </w:p>
    <w:p>
      <w:pPr>
        <w:spacing w:before="0" w:after="200" w:line="200" w:lineRule="atLeast"/>
      </w:pPr>
      <w:r>
        <w:rPr>
          <w:strike w:val="0"/>
          <w:u w:val="none"/>
        </w:rPr>
        <w:drawing>
          <wp:anchor simplePos="0" relativeHeight="251661312" behindDoc="1" locked="0" layoutInCell="1" allowOverlap="1">
            <wp:simplePos x="0" y="0"/>
            <wp:positionH relativeFrom="page">
              <wp:posOffset>1112520</wp:posOffset>
            </wp:positionH>
            <wp:positionV relativeFrom="page">
              <wp:posOffset>3303905</wp:posOffset>
            </wp:positionV>
            <wp:extent cx="5562600" cy="5943600"/>
            <wp:wrapNone/>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xmlns:r="http://schemas.openxmlformats.org/officeDocument/2006/relationships" r:embed="rId16"/>
                    <a:stretch>
                      <a:fillRect/>
                    </a:stretch>
                  </pic:blipFill>
                  <pic:spPr>
                    <a:xfrm>
                      <a:off x="0" y="0"/>
                      <a:ext cx="5562600" cy="5943600"/>
                    </a:xfrm>
                    <a:prstGeom prst="rect">
                      <a:avLst/>
                    </a:prstGeom>
                  </pic:spPr>
                </pic:pic>
              </a:graphicData>
            </a:graphic>
          </wp:anchor>
        </w:drawing>
      </w:r>
    </w:p>
    <w:p>
      <w:pPr>
        <w:spacing w:before="13" w:after="200"/>
        <w:ind w:left="1422" w:right="1399"/>
        <w:jc w:val="center"/>
        <w:rPr>
          <w:sz w:val="22"/>
          <w:szCs w:val="22"/>
        </w:rPr>
      </w:pPr>
      <w:r>
        <w:rPr>
          <w:rFonts w:ascii="Calibri" w:eastAsia="Calibri" w:hAnsi="Calibri" w:cs="Calibri"/>
          <w:b/>
          <w:bCs/>
          <w:sz w:val="22"/>
          <w:szCs w:val="22"/>
        </w:rPr>
        <w:t>GOVERNMENT PROCUREMENT</w:t>
      </w:r>
    </w:p>
    <w:p>
      <w:pPr>
        <w:spacing w:before="0" w:after="200" w:line="200" w:lineRule="atLeast"/>
      </w:pPr>
    </w:p>
    <w:p>
      <w:pPr>
        <w:spacing w:before="14" w:after="200" w:line="200" w:lineRule="atLeast"/>
      </w:pPr>
    </w:p>
    <w:p>
      <w:pPr>
        <w:spacing w:before="0" w:after="200"/>
        <w:ind w:left="777" w:right="754"/>
        <w:jc w:val="center"/>
        <w:rPr>
          <w:sz w:val="22"/>
          <w:szCs w:val="22"/>
        </w:rPr>
      </w:pPr>
      <w:r>
        <w:rPr>
          <w:rFonts w:ascii="Calibri" w:eastAsia="Calibri" w:hAnsi="Calibri" w:cs="Calibri"/>
          <w:b/>
          <w:bCs/>
          <w:sz w:val="22"/>
          <w:szCs w:val="22"/>
        </w:rPr>
        <w:t>GENERAL CONDITIONS OF CONTRACT July 2010</w:t>
      </w:r>
    </w:p>
    <w:p>
      <w:pPr>
        <w:spacing w:before="6" w:after="200" w:line="140" w:lineRule="atLeast"/>
      </w:pPr>
    </w:p>
    <w:p>
      <w:pPr>
        <w:spacing w:before="0" w:after="200" w:line="200" w:lineRule="atLeast"/>
      </w:pPr>
    </w:p>
    <w:p>
      <w:pPr>
        <w:spacing w:before="0" w:after="200" w:line="200" w:lineRule="atLeast"/>
      </w:pPr>
    </w:p>
    <w:p>
      <w:pPr>
        <w:spacing w:before="0" w:after="200" w:line="200" w:lineRule="atLeast"/>
      </w:pPr>
    </w:p>
    <w:p>
      <w:pPr>
        <w:spacing w:before="0" w:after="200" w:line="200" w:lineRule="atLeast"/>
      </w:pPr>
    </w:p>
    <w:p>
      <w:pPr>
        <w:spacing w:before="0" w:after="200"/>
        <w:ind w:left="952"/>
        <w:rPr>
          <w:sz w:val="22"/>
          <w:szCs w:val="22"/>
        </w:rPr>
      </w:pPr>
      <w:r>
        <w:rPr>
          <w:rFonts w:ascii="Calibri" w:eastAsia="Calibri" w:hAnsi="Calibri" w:cs="Calibri"/>
          <w:b/>
          <w:bCs/>
          <w:sz w:val="22"/>
          <w:szCs w:val="22"/>
        </w:rPr>
        <w:t>NOTES</w:t>
      </w:r>
    </w:p>
    <w:p>
      <w:pPr>
        <w:spacing w:before="0" w:after="200"/>
        <w:ind w:left="952"/>
        <w:rPr>
          <w:sz w:val="22"/>
          <w:szCs w:val="22"/>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purpose</w:t>
      </w:r>
      <w:r>
        <w:rPr>
          <w:rFonts w:ascii="Calibri" w:eastAsia="Calibri" w:hAnsi="Calibri" w:cs="Calibri"/>
          <w:spacing w:val="-9"/>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document</w:t>
      </w:r>
      <w:r>
        <w:rPr>
          <w:rFonts w:ascii="Calibri" w:eastAsia="Calibri" w:hAnsi="Calibri" w:cs="Calibri"/>
          <w:spacing w:val="-1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to:</w:t>
      </w:r>
    </w:p>
    <w:p>
      <w:pPr>
        <w:spacing w:before="0" w:after="200" w:line="200" w:lineRule="atLeast"/>
      </w:pPr>
    </w:p>
    <w:p>
      <w:pPr>
        <w:tabs>
          <w:tab w:val="left" w:pos="1660"/>
        </w:tabs>
        <w:spacing w:before="0" w:after="200" w:line="322" w:lineRule="atLeast"/>
        <w:ind w:left="1672" w:right="475" w:hanging="720"/>
        <w:rPr>
          <w:sz w:val="24"/>
          <w:szCs w:val="24"/>
        </w:rPr>
      </w:pPr>
      <w:r>
        <w:rPr>
          <w:rFonts w:ascii="Calibri" w:eastAsia="Calibri" w:hAnsi="Calibri" w:cs="Calibri"/>
          <w:sz w:val="22"/>
          <w:szCs w:val="22"/>
        </w:rPr>
        <w:t>(i)</w:t>
      </w:r>
      <w:r>
        <w:rPr>
          <w:rFonts w:ascii="Calibri" w:eastAsia="Calibri" w:hAnsi="Calibri" w:cs="Calibri"/>
          <w:sz w:val="24"/>
          <w:szCs w:val="24"/>
        </w:rPr>
        <w:tab/>
      </w:r>
      <w:r>
        <w:rPr>
          <w:rFonts w:ascii="Calibri" w:eastAsia="Calibri" w:hAnsi="Calibri" w:cs="Calibri"/>
          <w:sz w:val="22"/>
          <w:szCs w:val="22"/>
        </w:rPr>
        <w:t>Draw</w:t>
      </w:r>
      <w:r>
        <w:rPr>
          <w:rFonts w:ascii="Calibri" w:eastAsia="Calibri" w:hAnsi="Calibri" w:cs="Calibri"/>
          <w:spacing w:val="-6"/>
          <w:sz w:val="22"/>
          <w:szCs w:val="22"/>
        </w:rPr>
        <w:t xml:space="preserve"> </w:t>
      </w:r>
      <w:r>
        <w:rPr>
          <w:rFonts w:ascii="Calibri" w:eastAsia="Calibri" w:hAnsi="Calibri" w:cs="Calibri"/>
          <w:sz w:val="22"/>
          <w:szCs w:val="22"/>
        </w:rPr>
        <w:t>special</w:t>
      </w:r>
      <w:r>
        <w:rPr>
          <w:rFonts w:ascii="Calibri" w:eastAsia="Calibri" w:hAnsi="Calibri" w:cs="Calibri"/>
          <w:spacing w:val="-8"/>
          <w:sz w:val="22"/>
          <w:szCs w:val="22"/>
        </w:rPr>
        <w:t xml:space="preserve"> </w:t>
      </w:r>
      <w:r>
        <w:rPr>
          <w:rFonts w:ascii="Calibri" w:eastAsia="Calibri" w:hAnsi="Calibri" w:cs="Calibri"/>
          <w:sz w:val="22"/>
          <w:szCs w:val="22"/>
        </w:rPr>
        <w:t>attention</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certain</w:t>
      </w:r>
      <w:r>
        <w:rPr>
          <w:rFonts w:ascii="Calibri" w:eastAsia="Calibri" w:hAnsi="Calibri" w:cs="Calibri"/>
          <w:spacing w:val="-8"/>
          <w:sz w:val="22"/>
          <w:szCs w:val="22"/>
        </w:rPr>
        <w:t xml:space="preserve"> </w:t>
      </w:r>
      <w:r>
        <w:rPr>
          <w:rFonts w:ascii="Calibri" w:eastAsia="Calibri" w:hAnsi="Calibri" w:cs="Calibri"/>
          <w:sz w:val="22"/>
          <w:szCs w:val="22"/>
        </w:rPr>
        <w:t>general</w:t>
      </w:r>
      <w:r>
        <w:rPr>
          <w:rFonts w:ascii="Calibri" w:eastAsia="Calibri" w:hAnsi="Calibri" w:cs="Calibri"/>
          <w:spacing w:val="-8"/>
          <w:sz w:val="22"/>
          <w:szCs w:val="22"/>
        </w:rPr>
        <w:t xml:space="preserve"> </w:t>
      </w:r>
      <w:r>
        <w:rPr>
          <w:rFonts w:ascii="Calibri" w:eastAsia="Calibri" w:hAnsi="Calibri" w:cs="Calibri"/>
          <w:sz w:val="22"/>
          <w:szCs w:val="22"/>
        </w:rPr>
        <w:t>condi</w:t>
      </w:r>
      <w:r>
        <w:rPr>
          <w:rFonts w:ascii="Calibri" w:eastAsia="Calibri" w:hAnsi="Calibri" w:cs="Calibri"/>
          <w:spacing w:val="-1"/>
          <w:sz w:val="22"/>
          <w:szCs w:val="22"/>
        </w:rPr>
        <w:t>t</w:t>
      </w:r>
      <w:r>
        <w:rPr>
          <w:rFonts w:ascii="Calibri" w:eastAsia="Calibri" w:hAnsi="Calibri" w:cs="Calibri"/>
          <w:sz w:val="22"/>
          <w:szCs w:val="22"/>
        </w:rPr>
        <w:t>ions applicable</w:t>
      </w:r>
      <w:r>
        <w:rPr>
          <w:rFonts w:ascii="Calibri" w:eastAsia="Calibri" w:hAnsi="Calibri" w:cs="Calibri"/>
          <w:spacing w:val="-1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government</w:t>
      </w:r>
      <w:r>
        <w:rPr>
          <w:rFonts w:ascii="Calibri" w:eastAsia="Calibri" w:hAnsi="Calibri" w:cs="Calibri"/>
          <w:spacing w:val="-1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i</w:t>
      </w:r>
      <w:r>
        <w:rPr>
          <w:rFonts w:ascii="Calibri" w:eastAsia="Calibri" w:hAnsi="Calibri" w:cs="Calibri"/>
          <w:sz w:val="22"/>
          <w:szCs w:val="22"/>
        </w:rPr>
        <w:t>ds,</w:t>
      </w:r>
      <w:r>
        <w:rPr>
          <w:rFonts w:ascii="Calibri" w:eastAsia="Calibri" w:hAnsi="Calibri" w:cs="Calibri"/>
          <w:spacing w:val="-5"/>
          <w:sz w:val="22"/>
          <w:szCs w:val="22"/>
        </w:rPr>
        <w:t xml:space="preserve"> </w:t>
      </w:r>
      <w:r>
        <w:rPr>
          <w:rFonts w:ascii="Calibri" w:eastAsia="Calibri" w:hAnsi="Calibri" w:cs="Calibri"/>
          <w:sz w:val="22"/>
          <w:szCs w:val="22"/>
        </w:rPr>
        <w:t>contracts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orders;</w:t>
      </w:r>
      <w:r>
        <w:rPr>
          <w:rFonts w:ascii="Calibri" w:eastAsia="Calibri" w:hAnsi="Calibri" w:cs="Calibri"/>
          <w:spacing w:val="-8"/>
          <w:sz w:val="22"/>
          <w:szCs w:val="22"/>
        </w:rPr>
        <w:t xml:space="preserve"> </w:t>
      </w:r>
      <w:r>
        <w:rPr>
          <w:rFonts w:ascii="Calibri" w:eastAsia="Calibri" w:hAnsi="Calibri" w:cs="Calibri"/>
          <w:sz w:val="22"/>
          <w:szCs w:val="22"/>
        </w:rPr>
        <w:t>and</w:t>
      </w:r>
    </w:p>
    <w:p>
      <w:pPr>
        <w:tabs>
          <w:tab w:val="left" w:pos="1660"/>
        </w:tabs>
        <w:spacing w:before="0" w:after="200" w:line="322" w:lineRule="atLeast"/>
        <w:ind w:left="1672" w:right="354" w:hanging="720"/>
        <w:rPr>
          <w:sz w:val="24"/>
          <w:szCs w:val="24"/>
        </w:rPr>
      </w:pPr>
      <w:r>
        <w:rPr>
          <w:rFonts w:ascii="Calibri" w:eastAsia="Calibri" w:hAnsi="Calibri" w:cs="Calibri"/>
          <w:sz w:val="22"/>
          <w:szCs w:val="22"/>
        </w:rPr>
        <w:t>(ii)</w:t>
      </w:r>
      <w:r>
        <w:rPr>
          <w:rFonts w:ascii="Calibri" w:eastAsia="Calibri" w:hAnsi="Calibri" w:cs="Calibri"/>
          <w:sz w:val="24"/>
          <w:szCs w:val="24"/>
        </w:rPr>
        <w:tab/>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ensure</w:t>
      </w:r>
      <w:r>
        <w:rPr>
          <w:rFonts w:ascii="Calibri" w:eastAsia="Calibri" w:hAnsi="Calibri" w:cs="Calibri"/>
          <w:spacing w:val="-7"/>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clients</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m</w:t>
      </w:r>
      <w:r>
        <w:rPr>
          <w:rFonts w:ascii="Calibri" w:eastAsia="Calibri" w:hAnsi="Calibri" w:cs="Calibri"/>
          <w:sz w:val="22"/>
          <w:szCs w:val="22"/>
        </w:rPr>
        <w:t>il</w:t>
      </w:r>
      <w:r>
        <w:rPr>
          <w:rFonts w:ascii="Calibri" w:eastAsia="Calibri" w:hAnsi="Calibri" w:cs="Calibri"/>
          <w:spacing w:val="2"/>
          <w:sz w:val="22"/>
          <w:szCs w:val="22"/>
        </w:rPr>
        <w:t>i</w:t>
      </w:r>
      <w:r>
        <w:rPr>
          <w:rFonts w:ascii="Calibri" w:eastAsia="Calibri" w:hAnsi="Calibri" w:cs="Calibri"/>
          <w:sz w:val="22"/>
          <w:szCs w:val="22"/>
        </w:rPr>
        <w:t>ar</w:t>
      </w:r>
      <w:r>
        <w:rPr>
          <w:rFonts w:ascii="Calibri" w:eastAsia="Calibri" w:hAnsi="Calibri" w:cs="Calibri"/>
          <w:spacing w:val="-9"/>
          <w:sz w:val="22"/>
          <w:szCs w:val="22"/>
        </w:rPr>
        <w:t xml:space="preserve"> </w:t>
      </w:r>
      <w:r>
        <w:rPr>
          <w:rFonts w:ascii="Calibri" w:eastAsia="Calibri" w:hAnsi="Calibri" w:cs="Calibri"/>
          <w:sz w:val="22"/>
          <w:szCs w:val="22"/>
        </w:rPr>
        <w:t>with</w:t>
      </w:r>
      <w:r>
        <w:rPr>
          <w:rFonts w:ascii="Calibri" w:eastAsia="Calibri" w:hAnsi="Calibri" w:cs="Calibri"/>
          <w:spacing w:val="-5"/>
          <w:sz w:val="22"/>
          <w:szCs w:val="22"/>
        </w:rPr>
        <w:t xml:space="preserve"> </w:t>
      </w:r>
      <w:r>
        <w:rPr>
          <w:rFonts w:ascii="Calibri" w:eastAsia="Calibri" w:hAnsi="Calibri" w:cs="Calibri"/>
          <w:sz w:val="22"/>
          <w:szCs w:val="22"/>
        </w:rPr>
        <w:t>regard</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rights and</w:t>
      </w:r>
      <w:r>
        <w:rPr>
          <w:rFonts w:ascii="Calibri" w:eastAsia="Calibri" w:hAnsi="Calibri" w:cs="Calibri"/>
          <w:spacing w:val="-4"/>
          <w:sz w:val="22"/>
          <w:szCs w:val="22"/>
        </w:rPr>
        <w:t xml:space="preserve"> </w:t>
      </w:r>
      <w:r>
        <w:rPr>
          <w:rFonts w:ascii="Calibri" w:eastAsia="Calibri" w:hAnsi="Calibri" w:cs="Calibri"/>
          <w:sz w:val="22"/>
          <w:szCs w:val="22"/>
        </w:rPr>
        <w:t>oblig</w:t>
      </w:r>
      <w:r>
        <w:rPr>
          <w:rFonts w:ascii="Calibri" w:eastAsia="Calibri" w:hAnsi="Calibri" w:cs="Calibri"/>
          <w:spacing w:val="-2"/>
          <w:sz w:val="22"/>
          <w:szCs w:val="22"/>
        </w:rPr>
        <w:t>a</w:t>
      </w:r>
      <w:r>
        <w:rPr>
          <w:rFonts w:ascii="Calibri" w:eastAsia="Calibri" w:hAnsi="Calibri" w:cs="Calibri"/>
          <w:sz w:val="22"/>
          <w:szCs w:val="22"/>
        </w:rPr>
        <w:t>tions</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r</w:t>
      </w:r>
      <w:r>
        <w:rPr>
          <w:rFonts w:ascii="Calibri" w:eastAsia="Calibri" w:hAnsi="Calibri" w:cs="Calibri"/>
          <w:sz w:val="22"/>
          <w:szCs w:val="22"/>
        </w:rPr>
        <w:t>ties</w:t>
      </w:r>
      <w:r>
        <w:rPr>
          <w:rFonts w:ascii="Calibri" w:eastAsia="Calibri" w:hAnsi="Calibri" w:cs="Calibri"/>
          <w:spacing w:val="-7"/>
          <w:sz w:val="22"/>
          <w:szCs w:val="22"/>
        </w:rPr>
        <w:t xml:space="preserve"> </w:t>
      </w:r>
      <w:r>
        <w:rPr>
          <w:rFonts w:ascii="Calibri" w:eastAsia="Calibri" w:hAnsi="Calibri" w:cs="Calibri"/>
          <w:sz w:val="22"/>
          <w:szCs w:val="22"/>
        </w:rPr>
        <w:t>involved</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doing</w:t>
      </w:r>
      <w:r>
        <w:rPr>
          <w:rFonts w:ascii="Calibri" w:eastAsia="Calibri" w:hAnsi="Calibri" w:cs="Calibri"/>
          <w:spacing w:val="-6"/>
          <w:sz w:val="22"/>
          <w:szCs w:val="22"/>
        </w:rPr>
        <w:t xml:space="preserve"> </w:t>
      </w:r>
      <w:r>
        <w:rPr>
          <w:rFonts w:ascii="Calibri" w:eastAsia="Calibri" w:hAnsi="Calibri" w:cs="Calibri"/>
          <w:sz w:val="22"/>
          <w:szCs w:val="22"/>
        </w:rPr>
        <w:t>bus</w:t>
      </w:r>
      <w:r>
        <w:rPr>
          <w:rFonts w:ascii="Calibri" w:eastAsia="Calibri" w:hAnsi="Calibri" w:cs="Calibri"/>
          <w:spacing w:val="-1"/>
          <w:sz w:val="22"/>
          <w:szCs w:val="22"/>
        </w:rPr>
        <w:t>i</w:t>
      </w:r>
      <w:r>
        <w:rPr>
          <w:rFonts w:ascii="Calibri" w:eastAsia="Calibri" w:hAnsi="Calibri" w:cs="Calibri"/>
          <w:spacing w:val="1"/>
          <w:sz w:val="22"/>
          <w:szCs w:val="22"/>
        </w:rPr>
        <w:t>n</w:t>
      </w:r>
      <w:r>
        <w:rPr>
          <w:rFonts w:ascii="Calibri" w:eastAsia="Calibri" w:hAnsi="Calibri" w:cs="Calibri"/>
          <w:sz w:val="22"/>
          <w:szCs w:val="22"/>
        </w:rPr>
        <w:t>ess with</w:t>
      </w:r>
      <w:r>
        <w:rPr>
          <w:rFonts w:ascii="Calibri" w:eastAsia="Calibri" w:hAnsi="Calibri" w:cs="Calibri"/>
          <w:spacing w:val="-5"/>
          <w:sz w:val="22"/>
          <w:szCs w:val="22"/>
        </w:rPr>
        <w:t xml:space="preserve"> </w:t>
      </w:r>
      <w:r>
        <w:rPr>
          <w:rFonts w:ascii="Calibri" w:eastAsia="Calibri" w:hAnsi="Calibri" w:cs="Calibri"/>
          <w:sz w:val="22"/>
          <w:szCs w:val="22"/>
        </w:rPr>
        <w:t>government.</w:t>
      </w:r>
    </w:p>
    <w:p>
      <w:pPr>
        <w:spacing w:before="0" w:after="200" w:line="240" w:lineRule="atLeast"/>
      </w:pPr>
    </w:p>
    <w:p>
      <w:pPr>
        <w:spacing w:before="0" w:after="200"/>
        <w:ind w:left="952" w:right="598"/>
        <w:rPr>
          <w:sz w:val="22"/>
          <w:szCs w:val="22"/>
        </w:rPr>
      </w:pP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document</w:t>
      </w:r>
      <w:r>
        <w:rPr>
          <w:rFonts w:ascii="Calibri" w:eastAsia="Calibri" w:hAnsi="Calibri" w:cs="Calibri"/>
          <w:spacing w:val="-11"/>
          <w:sz w:val="22"/>
          <w:szCs w:val="22"/>
        </w:rPr>
        <w:t xml:space="preserve"> </w:t>
      </w:r>
      <w:r>
        <w:rPr>
          <w:rFonts w:ascii="Calibri" w:eastAsia="Calibri" w:hAnsi="Calibri" w:cs="Calibri"/>
          <w:sz w:val="22"/>
          <w:szCs w:val="22"/>
        </w:rPr>
        <w:t>words</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singular</w:t>
      </w:r>
      <w:r>
        <w:rPr>
          <w:rFonts w:ascii="Calibri" w:eastAsia="Calibri" w:hAnsi="Calibri" w:cs="Calibri"/>
          <w:spacing w:val="-9"/>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mean</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plural and</w:t>
      </w:r>
      <w:r>
        <w:rPr>
          <w:rFonts w:ascii="Calibri" w:eastAsia="Calibri" w:hAnsi="Calibri" w:cs="Calibri"/>
          <w:spacing w:val="-4"/>
          <w:sz w:val="22"/>
          <w:szCs w:val="22"/>
        </w:rPr>
        <w:t xml:space="preserve"> </w:t>
      </w:r>
      <w:r>
        <w:rPr>
          <w:rFonts w:ascii="Calibri" w:eastAsia="Calibri" w:hAnsi="Calibri" w:cs="Calibri"/>
          <w:sz w:val="22"/>
          <w:szCs w:val="22"/>
        </w:rPr>
        <w:t>vice</w:t>
      </w:r>
      <w:r>
        <w:rPr>
          <w:rFonts w:ascii="Calibri" w:eastAsia="Calibri" w:hAnsi="Calibri" w:cs="Calibri"/>
          <w:spacing w:val="-5"/>
          <w:sz w:val="22"/>
          <w:szCs w:val="22"/>
        </w:rPr>
        <w:t xml:space="preserve"> </w:t>
      </w:r>
      <w:r>
        <w:rPr>
          <w:rFonts w:ascii="Calibri" w:eastAsia="Calibri" w:hAnsi="Calibri" w:cs="Calibri"/>
          <w:spacing w:val="2"/>
          <w:sz w:val="22"/>
          <w:szCs w:val="22"/>
        </w:rPr>
        <w:t>v</w:t>
      </w:r>
      <w:r>
        <w:rPr>
          <w:rFonts w:ascii="Calibri" w:eastAsia="Calibri" w:hAnsi="Calibri" w:cs="Calibri"/>
          <w:spacing w:val="-1"/>
          <w:sz w:val="22"/>
          <w:szCs w:val="22"/>
        </w:rPr>
        <w:t>e</w:t>
      </w:r>
      <w:r>
        <w:rPr>
          <w:rFonts w:ascii="Calibri" w:eastAsia="Calibri" w:hAnsi="Calibri" w:cs="Calibri"/>
          <w:sz w:val="22"/>
          <w:szCs w:val="22"/>
        </w:rPr>
        <w:t>rsa</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words</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ma</w:t>
      </w:r>
      <w:r>
        <w:rPr>
          <w:rFonts w:ascii="Calibri" w:eastAsia="Calibri" w:hAnsi="Calibri" w:cs="Calibri"/>
          <w:spacing w:val="2"/>
          <w:sz w:val="22"/>
          <w:szCs w:val="22"/>
        </w:rPr>
        <w:t>s</w:t>
      </w:r>
      <w:r>
        <w:rPr>
          <w:rFonts w:ascii="Calibri" w:eastAsia="Calibri" w:hAnsi="Calibri" w:cs="Calibri"/>
          <w:spacing w:val="-1"/>
          <w:sz w:val="22"/>
          <w:szCs w:val="22"/>
        </w:rPr>
        <w:t>c</w:t>
      </w:r>
      <w:r>
        <w:rPr>
          <w:rFonts w:ascii="Calibri" w:eastAsia="Calibri" w:hAnsi="Calibri" w:cs="Calibri"/>
          <w:sz w:val="22"/>
          <w:szCs w:val="22"/>
        </w:rPr>
        <w:t>uline</w:t>
      </w:r>
      <w:r>
        <w:rPr>
          <w:rFonts w:ascii="Calibri" w:eastAsia="Calibri" w:hAnsi="Calibri" w:cs="Calibri"/>
          <w:spacing w:val="-11"/>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mean</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 fe</w:t>
      </w:r>
      <w:r>
        <w:rPr>
          <w:rFonts w:ascii="Calibri" w:eastAsia="Calibri" w:hAnsi="Calibri" w:cs="Calibri"/>
          <w:spacing w:val="-1"/>
          <w:sz w:val="22"/>
          <w:szCs w:val="22"/>
        </w:rPr>
        <w:t>m</w:t>
      </w:r>
      <w:r>
        <w:rPr>
          <w:rFonts w:ascii="Calibri" w:eastAsia="Calibri" w:hAnsi="Calibri" w:cs="Calibri"/>
          <w:sz w:val="22"/>
          <w:szCs w:val="22"/>
        </w:rPr>
        <w:t>inine</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neuter.</w:t>
      </w:r>
    </w:p>
    <w:p>
      <w:pPr>
        <w:tabs>
          <w:tab w:val="left" w:pos="1300"/>
        </w:tabs>
        <w:spacing w:before="0" w:after="200" w:line="322" w:lineRule="atLeast"/>
        <w:ind w:left="1672" w:right="1209" w:hanging="720"/>
        <w:rPr>
          <w:sz w:val="24"/>
          <w:szCs w:val="24"/>
        </w:rPr>
      </w:pPr>
      <w:r>
        <w:rPr>
          <w:rFonts w:ascii="Arial" w:eastAsia="Arial" w:hAnsi="Arial" w:cs="Arial"/>
          <w:sz w:val="22"/>
          <w:szCs w:val="22"/>
        </w:rPr>
        <w:sym w:font="Arial" w:char="F0B7"/>
      </w:r>
      <w:r>
        <w:rPr>
          <w:rFonts w:ascii="Calibri" w:eastAsia="Calibri" w:hAnsi="Calibri" w:cs="Calibri"/>
          <w:spacing w:val="-69"/>
          <w:sz w:val="22"/>
          <w:szCs w:val="22"/>
        </w:rPr>
        <w:t xml:space="preserve"> </w:t>
      </w:r>
      <w:r>
        <w:rPr>
          <w:rFonts w:ascii="Calibri" w:eastAsia="Calibri" w:hAnsi="Calibri" w:cs="Calibri"/>
          <w:spacing w:val="-69"/>
          <w:sz w:val="24"/>
          <w:szCs w:val="24"/>
        </w:rPr>
        <w:tab/>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General</w:t>
      </w:r>
      <w:r>
        <w:rPr>
          <w:rFonts w:ascii="Calibri" w:eastAsia="Calibri" w:hAnsi="Calibri" w:cs="Calibri"/>
          <w:spacing w:val="-9"/>
          <w:sz w:val="22"/>
          <w:szCs w:val="22"/>
        </w:rPr>
        <w:t xml:space="preserve"> </w:t>
      </w:r>
      <w:r>
        <w:rPr>
          <w:rFonts w:ascii="Calibri" w:eastAsia="Calibri" w:hAnsi="Calibri" w:cs="Calibri"/>
          <w:sz w:val="22"/>
          <w:szCs w:val="22"/>
        </w:rPr>
        <w:t>Conditions</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Con</w:t>
      </w:r>
      <w:r>
        <w:rPr>
          <w:rFonts w:ascii="Calibri" w:eastAsia="Calibri" w:hAnsi="Calibri" w:cs="Calibri"/>
          <w:spacing w:val="1"/>
          <w:sz w:val="22"/>
          <w:szCs w:val="22"/>
        </w:rPr>
        <w:t>t</w:t>
      </w:r>
      <w:r>
        <w:rPr>
          <w:rFonts w:ascii="Calibri" w:eastAsia="Calibri" w:hAnsi="Calibri" w:cs="Calibri"/>
          <w:sz w:val="22"/>
          <w:szCs w:val="22"/>
        </w:rPr>
        <w:t>ract</w:t>
      </w:r>
      <w:r>
        <w:rPr>
          <w:rFonts w:ascii="Calibri" w:eastAsia="Calibri" w:hAnsi="Calibri" w:cs="Calibri"/>
          <w:spacing w:val="-10"/>
          <w:sz w:val="22"/>
          <w:szCs w:val="22"/>
        </w:rPr>
        <w:t xml:space="preserve"> </w:t>
      </w:r>
      <w:r>
        <w:rPr>
          <w:rFonts w:ascii="Calibri" w:eastAsia="Calibri" w:hAnsi="Calibri" w:cs="Calibri"/>
          <w:sz w:val="22"/>
          <w:szCs w:val="22"/>
        </w:rPr>
        <w:t>will</w:t>
      </w:r>
      <w:r>
        <w:rPr>
          <w:rFonts w:ascii="Calibri" w:eastAsia="Calibri" w:hAnsi="Calibri" w:cs="Calibri"/>
          <w:spacing w:val="-4"/>
          <w:sz w:val="22"/>
          <w:szCs w:val="22"/>
        </w:rPr>
        <w:t xml:space="preserve"> </w:t>
      </w:r>
      <w:r>
        <w:rPr>
          <w:rFonts w:ascii="Calibri" w:eastAsia="Calibri" w:hAnsi="Calibri" w:cs="Calibri"/>
          <w:sz w:val="22"/>
          <w:szCs w:val="22"/>
        </w:rPr>
        <w:t>form</w:t>
      </w:r>
      <w:r>
        <w:rPr>
          <w:rFonts w:ascii="Calibri" w:eastAsia="Calibri" w:hAnsi="Calibri" w:cs="Calibri"/>
          <w:spacing w:val="-6"/>
          <w:sz w:val="22"/>
          <w:szCs w:val="22"/>
        </w:rPr>
        <w:t xml:space="preserve"> </w:t>
      </w:r>
      <w:r>
        <w:rPr>
          <w:rFonts w:ascii="Calibri" w:eastAsia="Calibri" w:hAnsi="Calibri" w:cs="Calibri"/>
          <w:sz w:val="22"/>
          <w:szCs w:val="22"/>
        </w:rPr>
        <w:t>part</w:t>
      </w:r>
      <w:r>
        <w:rPr>
          <w:rFonts w:ascii="Calibri" w:eastAsia="Calibri" w:hAnsi="Calibri" w:cs="Calibri"/>
          <w:spacing w:val="-4"/>
          <w:sz w:val="22"/>
          <w:szCs w:val="22"/>
        </w:rPr>
        <w:t xml:space="preserve"> </w:t>
      </w:r>
      <w:r>
        <w:rPr>
          <w:rFonts w:ascii="Calibri" w:eastAsia="Calibri" w:hAnsi="Calibri" w:cs="Calibri"/>
          <w:sz w:val="22"/>
          <w:szCs w:val="22"/>
        </w:rPr>
        <w:t>of all</w:t>
      </w:r>
      <w:r>
        <w:rPr>
          <w:rFonts w:ascii="Calibri" w:eastAsia="Calibri" w:hAnsi="Calibri" w:cs="Calibri"/>
          <w:spacing w:val="-3"/>
          <w:sz w:val="22"/>
          <w:szCs w:val="22"/>
        </w:rPr>
        <w:t xml:space="preserve"> </w:t>
      </w:r>
      <w:r>
        <w:rPr>
          <w:rFonts w:ascii="Calibri" w:eastAsia="Calibri" w:hAnsi="Calibri" w:cs="Calibri"/>
          <w:sz w:val="22"/>
          <w:szCs w:val="22"/>
        </w:rPr>
        <w:t>bid</w:t>
      </w:r>
      <w:r>
        <w:rPr>
          <w:rFonts w:ascii="Calibri" w:eastAsia="Calibri" w:hAnsi="Calibri" w:cs="Calibri"/>
          <w:spacing w:val="-4"/>
          <w:sz w:val="22"/>
          <w:szCs w:val="22"/>
        </w:rPr>
        <w:t xml:space="preserve"> </w:t>
      </w:r>
      <w:r>
        <w:rPr>
          <w:rFonts w:ascii="Calibri" w:eastAsia="Calibri" w:hAnsi="Calibri" w:cs="Calibri"/>
          <w:sz w:val="22"/>
          <w:szCs w:val="22"/>
        </w:rPr>
        <w:t>documents</w:t>
      </w:r>
      <w:r>
        <w:rPr>
          <w:rFonts w:ascii="Calibri" w:eastAsia="Calibri" w:hAnsi="Calibri" w:cs="Calibri"/>
          <w:spacing w:val="-12"/>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may</w:t>
      </w:r>
      <w:r>
        <w:rPr>
          <w:rFonts w:ascii="Calibri" w:eastAsia="Calibri" w:hAnsi="Calibri" w:cs="Calibri"/>
          <w:spacing w:val="-5"/>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amended.</w:t>
      </w:r>
    </w:p>
    <w:p>
      <w:pPr>
        <w:tabs>
          <w:tab w:val="left" w:pos="1300"/>
        </w:tabs>
        <w:spacing w:before="0" w:after="200" w:line="238" w:lineRule="auto"/>
        <w:ind w:left="1672" w:right="453" w:hanging="720"/>
        <w:rPr>
          <w:sz w:val="22"/>
          <w:szCs w:val="22"/>
        </w:rPr>
      </w:pPr>
      <w:r>
        <w:rPr>
          <w:rFonts w:ascii="Arial" w:eastAsia="Arial" w:hAnsi="Arial" w:cs="Arial"/>
          <w:sz w:val="22"/>
          <w:szCs w:val="22"/>
        </w:rPr>
        <w:sym w:font="Arial" w:char="F0B7"/>
      </w:r>
      <w:r>
        <w:rPr>
          <w:rFonts w:ascii="Calibri" w:eastAsia="Calibri" w:hAnsi="Calibri" w:cs="Calibri"/>
          <w:spacing w:val="-69"/>
          <w:sz w:val="22"/>
          <w:szCs w:val="22"/>
        </w:rPr>
        <w:t xml:space="preserve"> </w:t>
      </w:r>
      <w:r>
        <w:rPr>
          <w:rFonts w:ascii="Calibri" w:eastAsia="Calibri" w:hAnsi="Calibri" w:cs="Calibri"/>
          <w:spacing w:val="-69"/>
          <w:sz w:val="22"/>
          <w:szCs w:val="22"/>
        </w:rPr>
        <w:tab/>
      </w:r>
      <w:r>
        <w:rPr>
          <w:rFonts w:ascii="Calibri" w:eastAsia="Calibri" w:hAnsi="Calibri" w:cs="Calibri"/>
          <w:sz w:val="22"/>
          <w:szCs w:val="22"/>
        </w:rPr>
        <w:t>Special</w:t>
      </w:r>
      <w:r>
        <w:rPr>
          <w:rFonts w:ascii="Calibri" w:eastAsia="Calibri" w:hAnsi="Calibri" w:cs="Calibri"/>
          <w:spacing w:val="-8"/>
          <w:sz w:val="22"/>
          <w:szCs w:val="22"/>
        </w:rPr>
        <w:t xml:space="preserve"> </w:t>
      </w:r>
      <w:r>
        <w:rPr>
          <w:rFonts w:ascii="Calibri" w:eastAsia="Calibri" w:hAnsi="Calibri" w:cs="Calibri"/>
          <w:sz w:val="22"/>
          <w:szCs w:val="22"/>
        </w:rPr>
        <w:t>Conditions</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Contract</w:t>
      </w:r>
      <w:r>
        <w:rPr>
          <w:rFonts w:ascii="Calibri" w:eastAsia="Calibri" w:hAnsi="Calibri" w:cs="Calibri"/>
          <w:spacing w:val="-10"/>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S</w:t>
      </w:r>
      <w:r>
        <w:rPr>
          <w:rFonts w:ascii="Calibri" w:eastAsia="Calibri" w:hAnsi="Calibri" w:cs="Calibri"/>
          <w:sz w:val="22"/>
          <w:szCs w:val="22"/>
        </w:rPr>
        <w:t>CC)</w:t>
      </w:r>
      <w:r>
        <w:rPr>
          <w:rFonts w:ascii="Calibri" w:eastAsia="Calibri" w:hAnsi="Calibri" w:cs="Calibri"/>
          <w:spacing w:val="-7"/>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l</w:t>
      </w:r>
      <w:r>
        <w:rPr>
          <w:rFonts w:ascii="Calibri" w:eastAsia="Calibri" w:hAnsi="Calibri" w:cs="Calibri"/>
          <w:spacing w:val="1"/>
          <w:sz w:val="22"/>
          <w:szCs w:val="22"/>
        </w:rPr>
        <w:t>e</w:t>
      </w:r>
      <w:r>
        <w:rPr>
          <w:rFonts w:ascii="Calibri" w:eastAsia="Calibri" w:hAnsi="Calibri" w:cs="Calibri"/>
          <w:sz w:val="22"/>
          <w:szCs w:val="22"/>
        </w:rPr>
        <w:t>vant</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z w:val="22"/>
          <w:szCs w:val="22"/>
        </w:rPr>
        <w:t>ecific bid,</w:t>
      </w:r>
      <w:r>
        <w:rPr>
          <w:rFonts w:ascii="Calibri" w:eastAsia="Calibri" w:hAnsi="Calibri" w:cs="Calibri"/>
          <w:spacing w:val="-4"/>
          <w:sz w:val="22"/>
          <w:szCs w:val="22"/>
        </w:rPr>
        <w:t xml:space="preserve"> </w:t>
      </w:r>
      <w:r>
        <w:rPr>
          <w:rFonts w:ascii="Calibri" w:eastAsia="Calibri" w:hAnsi="Calibri" w:cs="Calibri"/>
          <w:sz w:val="22"/>
          <w:szCs w:val="22"/>
        </w:rPr>
        <w:t>shou</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pacing w:val="2"/>
          <w:sz w:val="22"/>
          <w:szCs w:val="22"/>
        </w:rPr>
        <w:t>p</w:t>
      </w:r>
      <w:r>
        <w:rPr>
          <w:rFonts w:ascii="Calibri" w:eastAsia="Calibri" w:hAnsi="Calibri" w:cs="Calibri"/>
          <w:sz w:val="22"/>
          <w:szCs w:val="22"/>
        </w:rPr>
        <w:t>iled</w:t>
      </w:r>
      <w:r>
        <w:rPr>
          <w:rFonts w:ascii="Calibri" w:eastAsia="Calibri" w:hAnsi="Calibri" w:cs="Calibri"/>
          <w:spacing w:val="-10"/>
          <w:sz w:val="22"/>
          <w:szCs w:val="22"/>
        </w:rPr>
        <w:t xml:space="preserve"> </w:t>
      </w:r>
      <w:r>
        <w:rPr>
          <w:rFonts w:ascii="Calibri" w:eastAsia="Calibri" w:hAnsi="Calibri" w:cs="Calibri"/>
          <w:sz w:val="22"/>
          <w:szCs w:val="22"/>
        </w:rPr>
        <w:t>separately</w:t>
      </w:r>
      <w:r>
        <w:rPr>
          <w:rFonts w:ascii="Calibri" w:eastAsia="Calibri" w:hAnsi="Calibri" w:cs="Calibri"/>
          <w:spacing w:val="-11"/>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every</w:t>
      </w:r>
      <w:r>
        <w:rPr>
          <w:rFonts w:ascii="Calibri" w:eastAsia="Calibri" w:hAnsi="Calibri" w:cs="Calibri"/>
          <w:spacing w:val="-6"/>
          <w:sz w:val="22"/>
          <w:szCs w:val="22"/>
        </w:rPr>
        <w:t xml:space="preserve"> </w:t>
      </w:r>
      <w:r>
        <w:rPr>
          <w:rFonts w:ascii="Calibri" w:eastAsia="Calibri" w:hAnsi="Calibri" w:cs="Calibri"/>
          <w:sz w:val="22"/>
          <w:szCs w:val="22"/>
        </w:rPr>
        <w:t>bid</w:t>
      </w:r>
      <w:r>
        <w:rPr>
          <w:rFonts w:ascii="Calibri" w:eastAsia="Calibri" w:hAnsi="Calibri" w:cs="Calibri"/>
          <w:spacing w:val="-4"/>
          <w:sz w:val="22"/>
          <w:szCs w:val="22"/>
        </w:rPr>
        <w:t xml:space="preserve"> </w:t>
      </w:r>
      <w:r>
        <w:rPr>
          <w:rFonts w:ascii="Calibri" w:eastAsia="Calibri" w:hAnsi="Calibri" w:cs="Calibri"/>
          <w:sz w:val="22"/>
          <w:szCs w:val="22"/>
        </w:rPr>
        <w:t>(if (applicable)</w:t>
      </w:r>
      <w:r>
        <w:rPr>
          <w:rFonts w:ascii="Calibri" w:eastAsia="Calibri" w:hAnsi="Calibri" w:cs="Calibri"/>
          <w:spacing w:val="-13"/>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4"/>
          <w:sz w:val="22"/>
          <w:szCs w:val="22"/>
        </w:rPr>
        <w:t xml:space="preserve"> </w:t>
      </w:r>
      <w:r>
        <w:rPr>
          <w:rFonts w:ascii="Calibri" w:eastAsia="Calibri" w:hAnsi="Calibri" w:cs="Calibri"/>
          <w:sz w:val="22"/>
          <w:szCs w:val="22"/>
        </w:rPr>
        <w:t>supplement</w:t>
      </w:r>
      <w:r>
        <w:rPr>
          <w:rFonts w:ascii="Calibri" w:eastAsia="Calibri" w:hAnsi="Calibri" w:cs="Calibri"/>
          <w:spacing w:val="-1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General</w:t>
      </w:r>
      <w:r>
        <w:rPr>
          <w:rFonts w:ascii="Calibri" w:eastAsia="Calibri" w:hAnsi="Calibri" w:cs="Calibri"/>
          <w:spacing w:val="-9"/>
          <w:sz w:val="22"/>
          <w:szCs w:val="22"/>
        </w:rPr>
        <w:t xml:space="preserve"> </w:t>
      </w:r>
      <w:r>
        <w:rPr>
          <w:rFonts w:ascii="Calibri" w:eastAsia="Calibri" w:hAnsi="Calibri" w:cs="Calibri"/>
          <w:sz w:val="22"/>
          <w:szCs w:val="22"/>
        </w:rPr>
        <w:t>Cond</w:t>
      </w:r>
      <w:r>
        <w:rPr>
          <w:rFonts w:ascii="Calibri" w:eastAsia="Calibri" w:hAnsi="Calibri" w:cs="Calibri"/>
          <w:spacing w:val="-1"/>
          <w:sz w:val="22"/>
          <w:szCs w:val="22"/>
        </w:rPr>
        <w:t>i</w:t>
      </w:r>
      <w:r>
        <w:rPr>
          <w:rFonts w:ascii="Calibri" w:eastAsia="Calibri" w:hAnsi="Calibri" w:cs="Calibri"/>
          <w:sz w:val="22"/>
          <w:szCs w:val="22"/>
        </w:rPr>
        <w:t>tions of</w:t>
      </w:r>
      <w:r>
        <w:rPr>
          <w:rFonts w:ascii="Calibri" w:eastAsia="Calibri" w:hAnsi="Calibri" w:cs="Calibri"/>
          <w:spacing w:val="-2"/>
          <w:sz w:val="22"/>
          <w:szCs w:val="22"/>
        </w:rPr>
        <w:t xml:space="preserve"> </w:t>
      </w:r>
      <w:r>
        <w:rPr>
          <w:rFonts w:ascii="Calibri" w:eastAsia="Calibri" w:hAnsi="Calibri" w:cs="Calibri"/>
          <w:sz w:val="22"/>
          <w:szCs w:val="22"/>
        </w:rPr>
        <w:t>Contract.</w:t>
      </w:r>
      <w:r>
        <w:rPr>
          <w:rFonts w:ascii="Calibri" w:eastAsia="Calibri" w:hAnsi="Calibri" w:cs="Calibri"/>
          <w:spacing w:val="59"/>
          <w:sz w:val="22"/>
          <w:szCs w:val="22"/>
        </w:rPr>
        <w:t xml:space="preserve"> </w:t>
      </w:r>
      <w:r>
        <w:rPr>
          <w:rFonts w:ascii="Calibri" w:eastAsia="Calibri" w:hAnsi="Calibri" w:cs="Calibri"/>
          <w:sz w:val="22"/>
          <w:szCs w:val="22"/>
        </w:rPr>
        <w:t>Whene</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1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conflict,</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provis</w:t>
      </w:r>
      <w:r>
        <w:rPr>
          <w:rFonts w:ascii="Calibri" w:eastAsia="Calibri" w:hAnsi="Calibri" w:cs="Calibri"/>
          <w:spacing w:val="-1"/>
          <w:sz w:val="22"/>
          <w:szCs w:val="22"/>
        </w:rPr>
        <w:t>i</w:t>
      </w:r>
      <w:r>
        <w:rPr>
          <w:rFonts w:ascii="Calibri" w:eastAsia="Calibri" w:hAnsi="Calibri" w:cs="Calibri"/>
          <w:sz w:val="22"/>
          <w:szCs w:val="22"/>
        </w:rPr>
        <w:t>ons 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SCC</w:t>
      </w:r>
      <w:r>
        <w:rPr>
          <w:rFonts w:ascii="Calibri" w:eastAsia="Calibri" w:hAnsi="Calibri" w:cs="Calibri"/>
          <w:spacing w:val="-5"/>
          <w:sz w:val="22"/>
          <w:szCs w:val="22"/>
        </w:rPr>
        <w:t xml:space="preserve"> </w:t>
      </w:r>
      <w:r>
        <w:rPr>
          <w:rFonts w:ascii="Calibri" w:eastAsia="Calibri" w:hAnsi="Calibri" w:cs="Calibri"/>
          <w:sz w:val="22"/>
          <w:szCs w:val="22"/>
        </w:rPr>
        <w:t>shall</w:t>
      </w:r>
      <w:r>
        <w:rPr>
          <w:rFonts w:ascii="Calibri" w:eastAsia="Calibri" w:hAnsi="Calibri" w:cs="Calibri"/>
          <w:spacing w:val="-5"/>
          <w:sz w:val="22"/>
          <w:szCs w:val="22"/>
        </w:rPr>
        <w:t xml:space="preserve"> </w:t>
      </w:r>
      <w:r>
        <w:rPr>
          <w:rFonts w:ascii="Calibri" w:eastAsia="Calibri" w:hAnsi="Calibri" w:cs="Calibri"/>
          <w:sz w:val="22"/>
          <w:szCs w:val="22"/>
        </w:rPr>
        <w:t>prevail.</w:t>
      </w:r>
    </w:p>
    <w:p>
      <w:pPr>
        <w:sectPr>
          <w:type w:val="nextPage"/>
          <w:pgSz w:w="11906" w:h="16838"/>
          <w:pgMar w:top="1580" w:right="1680" w:bottom="960" w:left="1680" w:header="708" w:footer="708"/>
          <w:cols w:space="708"/>
        </w:sectPr>
      </w:pPr>
    </w:p>
    <w:p>
      <w:pPr>
        <w:spacing w:before="1" w:after="200" w:line="160" w:lineRule="atLeast"/>
      </w:pPr>
    </w:p>
    <w:p>
      <w:pPr>
        <w:spacing w:before="19" w:after="200"/>
        <w:ind w:left="2690"/>
        <w:rPr>
          <w:sz w:val="22"/>
          <w:szCs w:val="22"/>
        </w:rPr>
      </w:pPr>
      <w:r>
        <w:rPr>
          <w:rFonts w:ascii="Calibri" w:eastAsia="Calibri" w:hAnsi="Calibri" w:cs="Calibri"/>
          <w:b/>
          <w:bCs/>
          <w:sz w:val="22"/>
          <w:szCs w:val="22"/>
        </w:rPr>
        <w:t>TABLE OF CLAUSES</w:t>
      </w:r>
    </w:p>
    <w:p>
      <w:pPr>
        <w:tabs>
          <w:tab w:val="left" w:pos="1380"/>
        </w:tabs>
        <w:spacing w:before="0" w:after="200"/>
        <w:ind w:left="118"/>
        <w:rPr>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rPr>
        <w:t>Definitions</w:t>
      </w:r>
    </w:p>
    <w:p>
      <w:pPr>
        <w:tabs>
          <w:tab w:val="left" w:pos="1380"/>
        </w:tabs>
        <w:spacing w:before="0" w:after="200" w:line="322" w:lineRule="atLeast"/>
        <w:ind w:left="118"/>
        <w:rPr>
          <w:sz w:val="24"/>
          <w:szCs w:val="24"/>
        </w:rPr>
      </w:pPr>
      <w:r>
        <w:rPr>
          <w:rFonts w:ascii="Calibri" w:eastAsia="Calibri" w:hAnsi="Calibri" w:cs="Calibri"/>
          <w:sz w:val="22"/>
          <w:szCs w:val="22"/>
        </w:rPr>
        <w:t>2.</w:t>
      </w:r>
      <w:r>
        <w:rPr>
          <w:rFonts w:ascii="Calibri" w:eastAsia="Calibri" w:hAnsi="Calibri" w:cs="Calibri"/>
          <w:sz w:val="24"/>
          <w:szCs w:val="24"/>
        </w:rPr>
        <w:tab/>
      </w:r>
      <w:r>
        <w:rPr>
          <w:rFonts w:ascii="Calibri" w:eastAsia="Calibri" w:hAnsi="Calibri" w:cs="Calibri"/>
          <w:sz w:val="22"/>
          <w:szCs w:val="22"/>
        </w:rPr>
        <w:t>Application</w:t>
      </w:r>
    </w:p>
    <w:p>
      <w:pPr>
        <w:tabs>
          <w:tab w:val="left" w:pos="1380"/>
        </w:tabs>
        <w:spacing w:before="0" w:after="200" w:line="322" w:lineRule="atLeast"/>
        <w:ind w:left="118"/>
        <w:rPr>
          <w:sz w:val="24"/>
          <w:szCs w:val="24"/>
        </w:rPr>
      </w:pPr>
      <w:r>
        <w:rPr>
          <w:rFonts w:ascii="Calibri" w:eastAsia="Calibri" w:hAnsi="Calibri" w:cs="Calibri"/>
          <w:sz w:val="22"/>
          <w:szCs w:val="22"/>
        </w:rPr>
        <w:t>3.</w:t>
      </w:r>
      <w:r>
        <w:rPr>
          <w:rFonts w:ascii="Calibri" w:eastAsia="Calibri" w:hAnsi="Calibri" w:cs="Calibri"/>
          <w:sz w:val="24"/>
          <w:szCs w:val="24"/>
        </w:rPr>
        <w:tab/>
      </w:r>
      <w:r>
        <w:rPr>
          <w:rFonts w:ascii="Calibri" w:eastAsia="Calibri" w:hAnsi="Calibri" w:cs="Calibri"/>
          <w:sz w:val="22"/>
          <w:szCs w:val="22"/>
        </w:rPr>
        <w:t>General</w:t>
      </w:r>
    </w:p>
    <w:p>
      <w:pPr>
        <w:tabs>
          <w:tab w:val="left" w:pos="1380"/>
        </w:tabs>
        <w:spacing w:before="1" w:after="200"/>
        <w:ind w:left="118"/>
        <w:rPr>
          <w:sz w:val="22"/>
          <w:szCs w:val="22"/>
        </w:rPr>
      </w:pPr>
      <w:r>
        <w:rPr>
          <w:rFonts w:ascii="Calibri" w:eastAsia="Calibri" w:hAnsi="Calibri" w:cs="Calibri"/>
          <w:sz w:val="22"/>
          <w:szCs w:val="22"/>
        </w:rPr>
        <w:t>4.</w:t>
      </w:r>
      <w:r>
        <w:rPr>
          <w:rFonts w:ascii="Calibri" w:eastAsia="Calibri" w:hAnsi="Calibri" w:cs="Calibri"/>
          <w:sz w:val="22"/>
          <w:szCs w:val="22"/>
        </w:rPr>
        <w:tab/>
      </w:r>
      <w:r>
        <w:rPr>
          <w:rFonts w:ascii="Calibri" w:eastAsia="Calibri" w:hAnsi="Calibri" w:cs="Calibri"/>
          <w:sz w:val="22"/>
          <w:szCs w:val="22"/>
        </w:rPr>
        <w:t>Standards</w:t>
      </w:r>
    </w:p>
    <w:p>
      <w:pPr>
        <w:tabs>
          <w:tab w:val="left" w:pos="1380"/>
        </w:tabs>
        <w:spacing w:before="0" w:after="200" w:line="322" w:lineRule="atLeast"/>
        <w:ind w:left="118"/>
        <w:rPr>
          <w:sz w:val="24"/>
          <w:szCs w:val="24"/>
        </w:rPr>
      </w:pPr>
      <w:r>
        <w:rPr>
          <w:rFonts w:ascii="Calibri" w:eastAsia="Calibri" w:hAnsi="Calibri" w:cs="Calibri"/>
          <w:sz w:val="22"/>
          <w:szCs w:val="22"/>
        </w:rPr>
        <w:t>5.</w:t>
      </w:r>
      <w:r>
        <w:rPr>
          <w:rFonts w:ascii="Calibri" w:eastAsia="Calibri" w:hAnsi="Calibri" w:cs="Calibri"/>
          <w:sz w:val="24"/>
          <w:szCs w:val="24"/>
        </w:rPr>
        <w:tab/>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contract</w:t>
      </w:r>
      <w:r>
        <w:rPr>
          <w:rFonts w:ascii="Calibri" w:eastAsia="Calibri" w:hAnsi="Calibri" w:cs="Calibri"/>
          <w:spacing w:val="-9"/>
          <w:sz w:val="22"/>
          <w:szCs w:val="22"/>
        </w:rPr>
        <w:t xml:space="preserve"> </w:t>
      </w:r>
      <w:r>
        <w:rPr>
          <w:rFonts w:ascii="Calibri" w:eastAsia="Calibri" w:hAnsi="Calibri" w:cs="Calibri"/>
          <w:sz w:val="22"/>
          <w:szCs w:val="22"/>
        </w:rPr>
        <w:t>documents</w:t>
      </w:r>
      <w:r>
        <w:rPr>
          <w:rFonts w:ascii="Calibri" w:eastAsia="Calibri" w:hAnsi="Calibri" w:cs="Calibri"/>
          <w:spacing w:val="-12"/>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infor</w:t>
      </w:r>
      <w:r>
        <w:rPr>
          <w:rFonts w:ascii="Calibri" w:eastAsia="Calibri" w:hAnsi="Calibri" w:cs="Calibri"/>
          <w:spacing w:val="-1"/>
          <w:sz w:val="22"/>
          <w:szCs w:val="22"/>
        </w:rPr>
        <w:t>m</w:t>
      </w:r>
      <w:r>
        <w:rPr>
          <w:rFonts w:ascii="Calibri" w:eastAsia="Calibri" w:hAnsi="Calibri" w:cs="Calibri"/>
          <w:sz w:val="22"/>
          <w:szCs w:val="22"/>
        </w:rPr>
        <w:t>ation;</w:t>
      </w:r>
      <w:r>
        <w:rPr>
          <w:rFonts w:ascii="Calibri" w:eastAsia="Calibri" w:hAnsi="Calibri" w:cs="Calibri"/>
          <w:spacing w:val="-14"/>
          <w:sz w:val="22"/>
          <w:szCs w:val="22"/>
        </w:rPr>
        <w:t xml:space="preserve"> </w:t>
      </w:r>
      <w:r>
        <w:rPr>
          <w:rFonts w:ascii="Calibri" w:eastAsia="Calibri" w:hAnsi="Calibri" w:cs="Calibri"/>
          <w:sz w:val="22"/>
          <w:szCs w:val="22"/>
        </w:rPr>
        <w:t>inspection</w:t>
      </w:r>
    </w:p>
    <w:p>
      <w:pPr>
        <w:tabs>
          <w:tab w:val="left" w:pos="1380"/>
        </w:tabs>
        <w:spacing w:before="0" w:after="200" w:line="322" w:lineRule="atLeast"/>
        <w:ind w:left="118"/>
        <w:rPr>
          <w:sz w:val="24"/>
          <w:szCs w:val="24"/>
        </w:rPr>
      </w:pPr>
      <w:r>
        <w:rPr>
          <w:rFonts w:ascii="Calibri" w:eastAsia="Calibri" w:hAnsi="Calibri" w:cs="Calibri"/>
          <w:sz w:val="22"/>
          <w:szCs w:val="22"/>
        </w:rPr>
        <w:t>6.</w:t>
      </w:r>
      <w:r>
        <w:rPr>
          <w:rFonts w:ascii="Calibri" w:eastAsia="Calibri" w:hAnsi="Calibri" w:cs="Calibri"/>
          <w:sz w:val="24"/>
          <w:szCs w:val="24"/>
        </w:rPr>
        <w:tab/>
      </w:r>
      <w:r>
        <w:rPr>
          <w:rFonts w:ascii="Calibri" w:eastAsia="Calibri" w:hAnsi="Calibri" w:cs="Calibri"/>
          <w:sz w:val="22"/>
          <w:szCs w:val="22"/>
        </w:rPr>
        <w:t>Patent</w:t>
      </w:r>
      <w:r>
        <w:rPr>
          <w:rFonts w:ascii="Calibri" w:eastAsia="Calibri" w:hAnsi="Calibri" w:cs="Calibri"/>
          <w:spacing w:val="-7"/>
          <w:sz w:val="22"/>
          <w:szCs w:val="22"/>
        </w:rPr>
        <w:t xml:space="preserve"> </w:t>
      </w:r>
      <w:r>
        <w:rPr>
          <w:rFonts w:ascii="Calibri" w:eastAsia="Calibri" w:hAnsi="Calibri" w:cs="Calibri"/>
          <w:sz w:val="22"/>
          <w:szCs w:val="22"/>
        </w:rPr>
        <w:t>rights</w:t>
      </w:r>
    </w:p>
    <w:p>
      <w:pPr>
        <w:tabs>
          <w:tab w:val="left" w:pos="1380"/>
        </w:tabs>
        <w:spacing w:before="0" w:after="200" w:line="322" w:lineRule="atLeast"/>
        <w:ind w:left="118"/>
        <w:rPr>
          <w:sz w:val="24"/>
          <w:szCs w:val="24"/>
        </w:rPr>
      </w:pPr>
      <w:r>
        <w:rPr>
          <w:rFonts w:ascii="Calibri" w:eastAsia="Calibri" w:hAnsi="Calibri" w:cs="Calibri"/>
          <w:sz w:val="22"/>
          <w:szCs w:val="22"/>
        </w:rPr>
        <w:t>7.</w:t>
      </w:r>
      <w:r>
        <w:rPr>
          <w:rFonts w:ascii="Calibri" w:eastAsia="Calibri" w:hAnsi="Calibri" w:cs="Calibri"/>
          <w:sz w:val="24"/>
          <w:szCs w:val="24"/>
        </w:rPr>
        <w:tab/>
      </w:r>
      <w:r>
        <w:rPr>
          <w:rFonts w:ascii="Calibri" w:eastAsia="Calibri" w:hAnsi="Calibri" w:cs="Calibri"/>
          <w:sz w:val="22"/>
          <w:szCs w:val="22"/>
        </w:rPr>
        <w:t>Performa</w:t>
      </w:r>
      <w:r>
        <w:rPr>
          <w:rFonts w:ascii="Calibri" w:eastAsia="Calibri" w:hAnsi="Calibri" w:cs="Calibri"/>
          <w:spacing w:val="2"/>
          <w:sz w:val="22"/>
          <w:szCs w:val="22"/>
        </w:rPr>
        <w:t>n</w:t>
      </w:r>
      <w:r>
        <w:rPr>
          <w:rFonts w:ascii="Calibri" w:eastAsia="Calibri" w:hAnsi="Calibri" w:cs="Calibri"/>
          <w:sz w:val="22"/>
          <w:szCs w:val="22"/>
        </w:rPr>
        <w:t>ce</w:t>
      </w:r>
      <w:r>
        <w:rPr>
          <w:rFonts w:ascii="Calibri" w:eastAsia="Calibri" w:hAnsi="Calibri" w:cs="Calibri"/>
          <w:spacing w:val="-1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ecurity</w:t>
      </w:r>
    </w:p>
    <w:p>
      <w:pPr>
        <w:tabs>
          <w:tab w:val="left" w:pos="1380"/>
        </w:tabs>
        <w:spacing w:before="1" w:after="200"/>
        <w:ind w:left="118"/>
        <w:rPr>
          <w:sz w:val="22"/>
          <w:szCs w:val="22"/>
        </w:rPr>
      </w:pPr>
      <w:r>
        <w:rPr>
          <w:rFonts w:ascii="Calibri" w:eastAsia="Calibri" w:hAnsi="Calibri" w:cs="Calibri"/>
          <w:sz w:val="22"/>
          <w:szCs w:val="22"/>
        </w:rPr>
        <w:t>8.</w:t>
      </w:r>
      <w:r>
        <w:rPr>
          <w:rFonts w:ascii="Calibri" w:eastAsia="Calibri" w:hAnsi="Calibri" w:cs="Calibri"/>
          <w:sz w:val="22"/>
          <w:szCs w:val="22"/>
        </w:rPr>
        <w:tab/>
      </w:r>
      <w:r>
        <w:rPr>
          <w:rFonts w:ascii="Calibri" w:eastAsia="Calibri" w:hAnsi="Calibri" w:cs="Calibri"/>
          <w:sz w:val="22"/>
          <w:szCs w:val="22"/>
        </w:rPr>
        <w:t>Inspections,</w:t>
      </w:r>
      <w:r>
        <w:rPr>
          <w:rFonts w:ascii="Calibri" w:eastAsia="Calibri" w:hAnsi="Calibri" w:cs="Calibri"/>
          <w:spacing w:val="-13"/>
          <w:sz w:val="22"/>
          <w:szCs w:val="22"/>
        </w:rPr>
        <w:t xml:space="preserve"> </w:t>
      </w:r>
      <w:r>
        <w:rPr>
          <w:rFonts w:ascii="Calibri" w:eastAsia="Calibri" w:hAnsi="Calibri" w:cs="Calibri"/>
          <w:sz w:val="22"/>
          <w:szCs w:val="22"/>
        </w:rPr>
        <w:t>tests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analysis</w:t>
      </w:r>
    </w:p>
    <w:p>
      <w:pPr>
        <w:tabs>
          <w:tab w:val="left" w:pos="1380"/>
        </w:tabs>
        <w:spacing w:before="0" w:after="200" w:line="322" w:lineRule="atLeast"/>
        <w:ind w:left="118"/>
        <w:rPr>
          <w:sz w:val="24"/>
          <w:szCs w:val="24"/>
        </w:rPr>
      </w:pPr>
      <w:r>
        <w:rPr>
          <w:rFonts w:ascii="Calibri" w:eastAsia="Calibri" w:hAnsi="Calibri" w:cs="Calibri"/>
          <w:sz w:val="22"/>
          <w:szCs w:val="22"/>
        </w:rPr>
        <w:t>9.</w:t>
      </w:r>
      <w:r>
        <w:rPr>
          <w:rFonts w:ascii="Calibri" w:eastAsia="Calibri" w:hAnsi="Calibri" w:cs="Calibri"/>
          <w:sz w:val="24"/>
          <w:szCs w:val="24"/>
        </w:rPr>
        <w:tab/>
      </w:r>
      <w:r>
        <w:rPr>
          <w:rFonts w:ascii="Calibri" w:eastAsia="Calibri" w:hAnsi="Calibri" w:cs="Calibri"/>
          <w:sz w:val="22"/>
          <w:szCs w:val="22"/>
        </w:rPr>
        <w:t>Packing</w:t>
      </w:r>
    </w:p>
    <w:p>
      <w:pPr>
        <w:tabs>
          <w:tab w:val="left" w:pos="1360"/>
        </w:tabs>
        <w:spacing w:before="0" w:after="200" w:line="322" w:lineRule="atLeast"/>
        <w:ind w:left="118"/>
        <w:rPr>
          <w:sz w:val="24"/>
          <w:szCs w:val="24"/>
        </w:rPr>
      </w:pPr>
      <w:r>
        <w:rPr>
          <w:rFonts w:ascii="Calibri" w:eastAsia="Calibri" w:hAnsi="Calibri" w:cs="Calibri"/>
          <w:spacing w:val="1"/>
          <w:sz w:val="22"/>
          <w:szCs w:val="22"/>
        </w:rPr>
        <w:t>10</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Delivery</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documents</w:t>
      </w:r>
    </w:p>
    <w:p>
      <w:pPr>
        <w:tabs>
          <w:tab w:val="left" w:pos="1360"/>
        </w:tabs>
        <w:spacing w:before="1" w:after="200"/>
        <w:ind w:left="118"/>
        <w:rPr>
          <w:sz w:val="22"/>
          <w:szCs w:val="22"/>
        </w:rPr>
      </w:pPr>
      <w:r>
        <w:rPr>
          <w:rFonts w:ascii="Calibri" w:eastAsia="Calibri" w:hAnsi="Calibri" w:cs="Calibri"/>
          <w:spacing w:val="1"/>
          <w:sz w:val="22"/>
          <w:szCs w:val="22"/>
        </w:rPr>
        <w:t>11</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Insurance</w:t>
      </w:r>
    </w:p>
    <w:p>
      <w:pPr>
        <w:tabs>
          <w:tab w:val="left" w:pos="1360"/>
        </w:tabs>
        <w:spacing w:before="0" w:after="200" w:line="322" w:lineRule="atLeast"/>
        <w:ind w:left="118"/>
        <w:rPr>
          <w:sz w:val="24"/>
          <w:szCs w:val="24"/>
        </w:rPr>
      </w:pPr>
      <w:r>
        <w:rPr>
          <w:rFonts w:ascii="Calibri" w:eastAsia="Calibri" w:hAnsi="Calibri" w:cs="Calibri"/>
          <w:spacing w:val="1"/>
          <w:sz w:val="22"/>
          <w:szCs w:val="22"/>
        </w:rPr>
        <w:t>12</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Transportation</w:t>
      </w:r>
    </w:p>
    <w:p>
      <w:pPr>
        <w:tabs>
          <w:tab w:val="left" w:pos="1360"/>
        </w:tabs>
        <w:spacing w:before="0" w:after="200" w:line="322" w:lineRule="atLeast"/>
        <w:ind w:left="118"/>
        <w:rPr>
          <w:sz w:val="24"/>
          <w:szCs w:val="24"/>
        </w:rPr>
      </w:pPr>
      <w:r>
        <w:rPr>
          <w:rFonts w:ascii="Calibri" w:eastAsia="Calibri" w:hAnsi="Calibri" w:cs="Calibri"/>
          <w:spacing w:val="1"/>
          <w:sz w:val="22"/>
          <w:szCs w:val="22"/>
        </w:rPr>
        <w:t>13</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Incidental</w:t>
      </w:r>
      <w:r>
        <w:rPr>
          <w:rFonts w:ascii="Calibri" w:eastAsia="Calibri" w:hAnsi="Calibri" w:cs="Calibri"/>
          <w:spacing w:val="-11"/>
          <w:sz w:val="22"/>
          <w:szCs w:val="22"/>
        </w:rPr>
        <w:t xml:space="preserve"> </w:t>
      </w:r>
      <w:r>
        <w:rPr>
          <w:rFonts w:ascii="Calibri" w:eastAsia="Calibri" w:hAnsi="Calibri" w:cs="Calibri"/>
          <w:sz w:val="22"/>
          <w:szCs w:val="22"/>
        </w:rPr>
        <w:t>services</w:t>
      </w:r>
    </w:p>
    <w:p>
      <w:pPr>
        <w:tabs>
          <w:tab w:val="left" w:pos="1360"/>
        </w:tabs>
        <w:spacing w:before="1" w:after="200"/>
        <w:ind w:left="118"/>
        <w:rPr>
          <w:sz w:val="22"/>
          <w:szCs w:val="22"/>
        </w:rPr>
      </w:pPr>
      <w:r>
        <w:rPr>
          <w:rFonts w:ascii="Calibri" w:eastAsia="Calibri" w:hAnsi="Calibri" w:cs="Calibri"/>
          <w:spacing w:val="1"/>
          <w:sz w:val="22"/>
          <w:szCs w:val="22"/>
        </w:rPr>
        <w:t>14</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Spare</w:t>
      </w:r>
      <w:r>
        <w:rPr>
          <w:rFonts w:ascii="Calibri" w:eastAsia="Calibri" w:hAnsi="Calibri" w:cs="Calibri"/>
          <w:spacing w:val="-6"/>
          <w:sz w:val="22"/>
          <w:szCs w:val="22"/>
        </w:rPr>
        <w:t xml:space="preserve"> </w:t>
      </w:r>
      <w:r>
        <w:rPr>
          <w:rFonts w:ascii="Calibri" w:eastAsia="Calibri" w:hAnsi="Calibri" w:cs="Calibri"/>
          <w:sz w:val="22"/>
          <w:szCs w:val="22"/>
        </w:rPr>
        <w:t>parts</w:t>
      </w:r>
    </w:p>
    <w:p>
      <w:pPr>
        <w:tabs>
          <w:tab w:val="left" w:pos="1360"/>
        </w:tabs>
        <w:spacing w:before="0" w:after="200" w:line="322" w:lineRule="atLeast"/>
        <w:ind w:left="118"/>
        <w:rPr>
          <w:sz w:val="24"/>
          <w:szCs w:val="24"/>
        </w:rPr>
      </w:pPr>
      <w:r>
        <w:rPr>
          <w:rFonts w:ascii="Calibri" w:eastAsia="Calibri" w:hAnsi="Calibri" w:cs="Calibri"/>
          <w:spacing w:val="1"/>
          <w:sz w:val="22"/>
          <w:szCs w:val="22"/>
        </w:rPr>
        <w:t>15</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Warranty</w:t>
      </w:r>
    </w:p>
    <w:p>
      <w:pPr>
        <w:tabs>
          <w:tab w:val="left" w:pos="1360"/>
        </w:tabs>
        <w:spacing w:before="0" w:after="200" w:line="322" w:lineRule="atLeast"/>
        <w:ind w:left="118"/>
        <w:rPr>
          <w:sz w:val="24"/>
          <w:szCs w:val="24"/>
        </w:rPr>
      </w:pPr>
      <w:r>
        <w:rPr>
          <w:rFonts w:ascii="Calibri" w:eastAsia="Calibri" w:hAnsi="Calibri" w:cs="Calibri"/>
          <w:spacing w:val="1"/>
          <w:sz w:val="22"/>
          <w:szCs w:val="22"/>
        </w:rPr>
        <w:t>16</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Payment</w:t>
      </w:r>
    </w:p>
    <w:p>
      <w:pPr>
        <w:tabs>
          <w:tab w:val="left" w:pos="1360"/>
        </w:tabs>
        <w:spacing w:before="1" w:after="200"/>
        <w:ind w:left="118"/>
        <w:rPr>
          <w:sz w:val="22"/>
          <w:szCs w:val="22"/>
        </w:rPr>
      </w:pPr>
      <w:r>
        <w:rPr>
          <w:rFonts w:ascii="Calibri" w:eastAsia="Calibri" w:hAnsi="Calibri" w:cs="Calibri"/>
          <w:spacing w:val="1"/>
          <w:sz w:val="22"/>
          <w:szCs w:val="22"/>
        </w:rPr>
        <w:t>17</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Prices</w:t>
      </w:r>
    </w:p>
    <w:p>
      <w:pPr>
        <w:tabs>
          <w:tab w:val="left" w:pos="1360"/>
        </w:tabs>
        <w:spacing w:before="0" w:after="200" w:line="322" w:lineRule="atLeast"/>
        <w:ind w:left="118"/>
        <w:rPr>
          <w:sz w:val="24"/>
          <w:szCs w:val="24"/>
        </w:rPr>
      </w:pPr>
      <w:r>
        <w:rPr>
          <w:rFonts w:ascii="Calibri" w:eastAsia="Calibri" w:hAnsi="Calibri" w:cs="Calibri"/>
          <w:spacing w:val="1"/>
          <w:sz w:val="22"/>
          <w:szCs w:val="22"/>
        </w:rPr>
        <w:t>18</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Contract</w:t>
      </w:r>
      <w:r>
        <w:rPr>
          <w:rFonts w:ascii="Calibri" w:eastAsia="Calibri" w:hAnsi="Calibri" w:cs="Calibri"/>
          <w:spacing w:val="-10"/>
          <w:sz w:val="22"/>
          <w:szCs w:val="22"/>
        </w:rPr>
        <w:t xml:space="preserve"> </w:t>
      </w:r>
      <w:r>
        <w:rPr>
          <w:rFonts w:ascii="Calibri" w:eastAsia="Calibri" w:hAnsi="Calibri" w:cs="Calibri"/>
          <w:sz w:val="22"/>
          <w:szCs w:val="22"/>
        </w:rPr>
        <w:t>amen</w:t>
      </w:r>
      <w:r>
        <w:rPr>
          <w:rFonts w:ascii="Calibri" w:eastAsia="Calibri" w:hAnsi="Calibri" w:cs="Calibri"/>
          <w:spacing w:val="2"/>
          <w:sz w:val="22"/>
          <w:szCs w:val="22"/>
        </w:rPr>
        <w:t>d</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p>
    <w:p>
      <w:pPr>
        <w:tabs>
          <w:tab w:val="left" w:pos="1360"/>
        </w:tabs>
        <w:spacing w:before="0" w:after="200" w:line="322" w:lineRule="atLeast"/>
        <w:ind w:left="118"/>
        <w:rPr>
          <w:sz w:val="24"/>
          <w:szCs w:val="24"/>
        </w:rPr>
      </w:pPr>
      <w:r>
        <w:rPr>
          <w:rFonts w:ascii="Calibri" w:eastAsia="Calibri" w:hAnsi="Calibri" w:cs="Calibri"/>
          <w:spacing w:val="1"/>
          <w:sz w:val="22"/>
          <w:szCs w:val="22"/>
        </w:rPr>
        <w:t>19</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Assign</w:t>
      </w:r>
      <w:r>
        <w:rPr>
          <w:rFonts w:ascii="Calibri" w:eastAsia="Calibri" w:hAnsi="Calibri" w:cs="Calibri"/>
          <w:spacing w:val="-1"/>
          <w:sz w:val="22"/>
          <w:szCs w:val="22"/>
        </w:rPr>
        <w:t>m</w:t>
      </w:r>
      <w:r>
        <w:rPr>
          <w:rFonts w:ascii="Calibri" w:eastAsia="Calibri" w:hAnsi="Calibri" w:cs="Calibri"/>
          <w:sz w:val="22"/>
          <w:szCs w:val="22"/>
        </w:rPr>
        <w:t>ent</w:t>
      </w:r>
    </w:p>
    <w:p>
      <w:pPr>
        <w:tabs>
          <w:tab w:val="left" w:pos="1360"/>
        </w:tabs>
        <w:spacing w:before="0" w:after="200" w:line="322" w:lineRule="atLeast"/>
        <w:ind w:left="118"/>
        <w:rPr>
          <w:sz w:val="24"/>
          <w:szCs w:val="24"/>
        </w:rPr>
      </w:pPr>
      <w:r>
        <w:rPr>
          <w:rFonts w:ascii="Calibri" w:eastAsia="Calibri" w:hAnsi="Calibri" w:cs="Calibri"/>
          <w:spacing w:val="1"/>
          <w:sz w:val="22"/>
          <w:szCs w:val="22"/>
        </w:rPr>
        <w:t>20</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Subcon</w:t>
      </w:r>
      <w:r>
        <w:rPr>
          <w:rFonts w:ascii="Calibri" w:eastAsia="Calibri" w:hAnsi="Calibri" w:cs="Calibri"/>
          <w:spacing w:val="-1"/>
          <w:sz w:val="22"/>
          <w:szCs w:val="22"/>
        </w:rPr>
        <w:t>t</w:t>
      </w:r>
      <w:r>
        <w:rPr>
          <w:rFonts w:ascii="Calibri" w:eastAsia="Calibri" w:hAnsi="Calibri" w:cs="Calibri"/>
          <w:sz w:val="22"/>
          <w:szCs w:val="22"/>
        </w:rPr>
        <w:t>racts</w:t>
      </w:r>
    </w:p>
    <w:p>
      <w:pPr>
        <w:tabs>
          <w:tab w:val="left" w:pos="1360"/>
        </w:tabs>
        <w:spacing w:before="1" w:after="200"/>
        <w:ind w:left="118"/>
        <w:rPr>
          <w:sz w:val="22"/>
          <w:szCs w:val="22"/>
        </w:rPr>
      </w:pPr>
      <w:r>
        <w:rPr>
          <w:rFonts w:ascii="Calibri" w:eastAsia="Calibri" w:hAnsi="Calibri" w:cs="Calibri"/>
          <w:spacing w:val="1"/>
          <w:sz w:val="22"/>
          <w:szCs w:val="22"/>
        </w:rPr>
        <w:t>21</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Delays</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supplier’s</w:t>
      </w:r>
      <w:r>
        <w:rPr>
          <w:rFonts w:ascii="Calibri" w:eastAsia="Calibri" w:hAnsi="Calibri" w:cs="Calibri"/>
          <w:spacing w:val="-11"/>
          <w:sz w:val="22"/>
          <w:szCs w:val="22"/>
        </w:rPr>
        <w:t xml:space="preserve"> </w:t>
      </w:r>
      <w:r>
        <w:rPr>
          <w:rFonts w:ascii="Calibri" w:eastAsia="Calibri" w:hAnsi="Calibri" w:cs="Calibri"/>
          <w:sz w:val="22"/>
          <w:szCs w:val="22"/>
        </w:rPr>
        <w:t>performance</w:t>
      </w:r>
    </w:p>
    <w:p>
      <w:pPr>
        <w:tabs>
          <w:tab w:val="left" w:pos="1360"/>
        </w:tabs>
        <w:spacing w:before="0" w:after="200" w:line="322" w:lineRule="atLeast"/>
        <w:ind w:left="118"/>
        <w:rPr>
          <w:sz w:val="24"/>
          <w:szCs w:val="24"/>
        </w:rPr>
      </w:pPr>
      <w:r>
        <w:rPr>
          <w:rFonts w:ascii="Calibri" w:eastAsia="Calibri" w:hAnsi="Calibri" w:cs="Calibri"/>
          <w:spacing w:val="1"/>
          <w:sz w:val="22"/>
          <w:szCs w:val="22"/>
        </w:rPr>
        <w:t>22</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Penalties</w:t>
      </w:r>
    </w:p>
    <w:p>
      <w:pPr>
        <w:tabs>
          <w:tab w:val="left" w:pos="1360"/>
        </w:tabs>
        <w:spacing w:before="0" w:after="200" w:line="322" w:lineRule="atLeast"/>
        <w:ind w:left="118"/>
        <w:rPr>
          <w:sz w:val="24"/>
          <w:szCs w:val="24"/>
        </w:rPr>
      </w:pPr>
      <w:r>
        <w:rPr>
          <w:rFonts w:ascii="Calibri" w:eastAsia="Calibri" w:hAnsi="Calibri" w:cs="Calibri"/>
          <w:spacing w:val="1"/>
          <w:sz w:val="22"/>
          <w:szCs w:val="22"/>
        </w:rPr>
        <w:t>23</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Ter</w:t>
      </w:r>
      <w:r>
        <w:rPr>
          <w:rFonts w:ascii="Calibri" w:eastAsia="Calibri" w:hAnsi="Calibri" w:cs="Calibri"/>
          <w:spacing w:val="-1"/>
          <w:sz w:val="22"/>
          <w:szCs w:val="22"/>
        </w:rPr>
        <w:t>m</w:t>
      </w:r>
      <w:r>
        <w:rPr>
          <w:rFonts w:ascii="Calibri" w:eastAsia="Calibri" w:hAnsi="Calibri" w:cs="Calibri"/>
          <w:sz w:val="22"/>
          <w:szCs w:val="22"/>
        </w:rPr>
        <w:t>ination</w:t>
      </w:r>
      <w:r>
        <w:rPr>
          <w:rFonts w:ascii="Calibri" w:eastAsia="Calibri" w:hAnsi="Calibri" w:cs="Calibri"/>
          <w:spacing w:val="-1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default</w:t>
      </w:r>
    </w:p>
    <w:p>
      <w:pPr>
        <w:tabs>
          <w:tab w:val="left" w:pos="1360"/>
        </w:tabs>
        <w:spacing w:before="1" w:after="200"/>
        <w:ind w:left="118"/>
        <w:rPr>
          <w:sz w:val="22"/>
          <w:szCs w:val="22"/>
        </w:rPr>
      </w:pPr>
      <w:r>
        <w:rPr>
          <w:rFonts w:ascii="Calibri" w:eastAsia="Calibri" w:hAnsi="Calibri" w:cs="Calibri"/>
          <w:spacing w:val="1"/>
          <w:sz w:val="22"/>
          <w:szCs w:val="22"/>
        </w:rPr>
        <w:t>24</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Du</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ing</w:t>
      </w:r>
      <w:r>
        <w:rPr>
          <w:rFonts w:ascii="Calibri" w:eastAsia="Calibri" w:hAnsi="Calibri" w:cs="Calibri"/>
          <w:spacing w:val="-11"/>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countervailing</w:t>
      </w:r>
      <w:r>
        <w:rPr>
          <w:rFonts w:ascii="Calibri" w:eastAsia="Calibri" w:hAnsi="Calibri" w:cs="Calibri"/>
          <w:spacing w:val="-16"/>
          <w:sz w:val="22"/>
          <w:szCs w:val="22"/>
        </w:rPr>
        <w:t xml:space="preserve"> </w:t>
      </w:r>
      <w:r>
        <w:rPr>
          <w:rFonts w:ascii="Calibri" w:eastAsia="Calibri" w:hAnsi="Calibri" w:cs="Calibri"/>
          <w:sz w:val="22"/>
          <w:szCs w:val="22"/>
        </w:rPr>
        <w:t>duties</w:t>
      </w:r>
    </w:p>
    <w:p>
      <w:pPr>
        <w:tabs>
          <w:tab w:val="left" w:pos="1360"/>
        </w:tabs>
        <w:spacing w:before="0" w:after="200" w:line="322" w:lineRule="atLeast"/>
        <w:ind w:left="118"/>
        <w:rPr>
          <w:sz w:val="24"/>
          <w:szCs w:val="24"/>
        </w:rPr>
      </w:pPr>
      <w:r>
        <w:rPr>
          <w:rFonts w:ascii="Calibri" w:eastAsia="Calibri" w:hAnsi="Calibri" w:cs="Calibri"/>
          <w:spacing w:val="1"/>
          <w:sz w:val="22"/>
          <w:szCs w:val="22"/>
        </w:rPr>
        <w:t>25</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Force</w:t>
      </w:r>
      <w:r>
        <w:rPr>
          <w:rFonts w:ascii="Calibri" w:eastAsia="Calibri" w:hAnsi="Calibri" w:cs="Calibri"/>
          <w:spacing w:val="-6"/>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a</w:t>
      </w:r>
      <w:r>
        <w:rPr>
          <w:rFonts w:ascii="Calibri" w:eastAsia="Calibri" w:hAnsi="Calibri" w:cs="Calibri"/>
          <w:sz w:val="22"/>
          <w:szCs w:val="22"/>
        </w:rPr>
        <w:t>jeure</w:t>
      </w:r>
    </w:p>
    <w:p>
      <w:pPr>
        <w:tabs>
          <w:tab w:val="left" w:pos="1360"/>
        </w:tabs>
        <w:spacing w:before="0" w:after="200" w:line="322" w:lineRule="atLeast"/>
        <w:ind w:left="118"/>
        <w:rPr>
          <w:sz w:val="24"/>
          <w:szCs w:val="24"/>
        </w:rPr>
      </w:pPr>
      <w:r>
        <w:rPr>
          <w:rFonts w:ascii="Calibri" w:eastAsia="Calibri" w:hAnsi="Calibri" w:cs="Calibri"/>
          <w:spacing w:val="1"/>
          <w:sz w:val="22"/>
          <w:szCs w:val="22"/>
        </w:rPr>
        <w:t>26</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Ter</w:t>
      </w:r>
      <w:r>
        <w:rPr>
          <w:rFonts w:ascii="Calibri" w:eastAsia="Calibri" w:hAnsi="Calibri" w:cs="Calibri"/>
          <w:spacing w:val="-1"/>
          <w:sz w:val="22"/>
          <w:szCs w:val="22"/>
        </w:rPr>
        <w:t>m</w:t>
      </w:r>
      <w:r>
        <w:rPr>
          <w:rFonts w:ascii="Calibri" w:eastAsia="Calibri" w:hAnsi="Calibri" w:cs="Calibri"/>
          <w:sz w:val="22"/>
          <w:szCs w:val="22"/>
        </w:rPr>
        <w:t>ination</w:t>
      </w:r>
      <w:r>
        <w:rPr>
          <w:rFonts w:ascii="Calibri" w:eastAsia="Calibri" w:hAnsi="Calibri" w:cs="Calibri"/>
          <w:spacing w:val="-1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insolvency</w:t>
      </w:r>
    </w:p>
    <w:p>
      <w:pPr>
        <w:tabs>
          <w:tab w:val="left" w:pos="1360"/>
        </w:tabs>
        <w:spacing w:before="1" w:after="200"/>
        <w:ind w:left="118"/>
        <w:rPr>
          <w:sz w:val="22"/>
          <w:szCs w:val="22"/>
        </w:rPr>
      </w:pPr>
      <w:r>
        <w:rPr>
          <w:rFonts w:ascii="Calibri" w:eastAsia="Calibri" w:hAnsi="Calibri" w:cs="Calibri"/>
          <w:spacing w:val="1"/>
          <w:sz w:val="22"/>
          <w:szCs w:val="22"/>
        </w:rPr>
        <w:t>27</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Settle</w:t>
      </w:r>
      <w:r>
        <w:rPr>
          <w:rFonts w:ascii="Calibri" w:eastAsia="Calibri" w:hAnsi="Calibri" w:cs="Calibri"/>
          <w:spacing w:val="-1"/>
          <w:sz w:val="22"/>
          <w:szCs w:val="22"/>
        </w:rPr>
        <w:t>me</w:t>
      </w:r>
      <w:r>
        <w:rPr>
          <w:rFonts w:ascii="Calibri" w:eastAsia="Calibri" w:hAnsi="Calibri" w:cs="Calibri"/>
          <w:sz w:val="22"/>
          <w:szCs w:val="22"/>
        </w:rPr>
        <w:t>nt</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disputes</w:t>
      </w:r>
    </w:p>
    <w:p>
      <w:pPr>
        <w:tabs>
          <w:tab w:val="left" w:pos="1360"/>
        </w:tabs>
        <w:spacing w:before="0" w:after="200" w:line="322" w:lineRule="atLeast"/>
        <w:ind w:left="118"/>
        <w:rPr>
          <w:sz w:val="24"/>
          <w:szCs w:val="24"/>
        </w:rPr>
      </w:pPr>
      <w:r>
        <w:rPr>
          <w:rFonts w:ascii="Calibri" w:eastAsia="Calibri" w:hAnsi="Calibri" w:cs="Calibri"/>
          <w:spacing w:val="1"/>
          <w:sz w:val="22"/>
          <w:szCs w:val="22"/>
        </w:rPr>
        <w:t>28</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z w:val="22"/>
          <w:szCs w:val="22"/>
        </w:rPr>
        <w:t>itation</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liability</w:t>
      </w:r>
    </w:p>
    <w:p>
      <w:pPr>
        <w:tabs>
          <w:tab w:val="left" w:pos="1360"/>
        </w:tabs>
        <w:spacing w:before="0" w:after="200" w:line="322" w:lineRule="atLeast"/>
        <w:ind w:left="118"/>
        <w:rPr>
          <w:sz w:val="24"/>
          <w:szCs w:val="24"/>
        </w:rPr>
      </w:pPr>
      <w:r>
        <w:rPr>
          <w:rFonts w:ascii="Calibri" w:eastAsia="Calibri" w:hAnsi="Calibri" w:cs="Calibri"/>
          <w:spacing w:val="1"/>
          <w:sz w:val="22"/>
          <w:szCs w:val="22"/>
        </w:rPr>
        <w:t>29</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Governing</w:t>
      </w:r>
      <w:r>
        <w:rPr>
          <w:rFonts w:ascii="Calibri" w:eastAsia="Calibri" w:hAnsi="Calibri" w:cs="Calibri"/>
          <w:spacing w:val="-12"/>
          <w:sz w:val="22"/>
          <w:szCs w:val="22"/>
        </w:rPr>
        <w:t xml:space="preserve"> </w:t>
      </w:r>
      <w:r>
        <w:rPr>
          <w:rFonts w:ascii="Calibri" w:eastAsia="Calibri" w:hAnsi="Calibri" w:cs="Calibri"/>
          <w:sz w:val="22"/>
          <w:szCs w:val="22"/>
        </w:rPr>
        <w:t>language</w:t>
      </w:r>
    </w:p>
    <w:p>
      <w:pPr>
        <w:tabs>
          <w:tab w:val="left" w:pos="1360"/>
        </w:tabs>
        <w:spacing w:before="1" w:after="200"/>
        <w:ind w:left="118"/>
        <w:rPr>
          <w:sz w:val="22"/>
          <w:szCs w:val="22"/>
        </w:rPr>
      </w:pPr>
      <w:r>
        <w:rPr>
          <w:rFonts w:ascii="Calibri" w:eastAsia="Calibri" w:hAnsi="Calibri" w:cs="Calibri"/>
          <w:spacing w:val="1"/>
          <w:sz w:val="22"/>
          <w:szCs w:val="22"/>
        </w:rPr>
        <w:t>30</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Applicable</w:t>
      </w:r>
      <w:r>
        <w:rPr>
          <w:rFonts w:ascii="Calibri" w:eastAsia="Calibri" w:hAnsi="Calibri" w:cs="Calibri"/>
          <w:spacing w:val="-12"/>
          <w:sz w:val="22"/>
          <w:szCs w:val="22"/>
        </w:rPr>
        <w:t xml:space="preserve"> </w:t>
      </w:r>
      <w:r>
        <w:rPr>
          <w:rFonts w:ascii="Calibri" w:eastAsia="Calibri" w:hAnsi="Calibri" w:cs="Calibri"/>
          <w:sz w:val="22"/>
          <w:szCs w:val="22"/>
        </w:rPr>
        <w:t>law</w:t>
      </w:r>
    </w:p>
    <w:p>
      <w:pPr>
        <w:tabs>
          <w:tab w:val="left" w:pos="1360"/>
        </w:tabs>
        <w:spacing w:before="0" w:after="200" w:line="322" w:lineRule="atLeast"/>
        <w:ind w:left="118"/>
        <w:rPr>
          <w:sz w:val="24"/>
          <w:szCs w:val="24"/>
        </w:rPr>
      </w:pPr>
      <w:r>
        <w:rPr>
          <w:rFonts w:ascii="Calibri" w:eastAsia="Calibri" w:hAnsi="Calibri" w:cs="Calibri"/>
          <w:spacing w:val="1"/>
          <w:sz w:val="22"/>
          <w:szCs w:val="22"/>
        </w:rPr>
        <w:t>31</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Notices</w:t>
      </w:r>
    </w:p>
    <w:p>
      <w:pPr>
        <w:tabs>
          <w:tab w:val="left" w:pos="1360"/>
        </w:tabs>
        <w:spacing w:before="0" w:after="200" w:line="322" w:lineRule="atLeast"/>
        <w:ind w:left="118"/>
        <w:rPr>
          <w:sz w:val="24"/>
          <w:szCs w:val="24"/>
        </w:rPr>
      </w:pPr>
      <w:r>
        <w:rPr>
          <w:rFonts w:ascii="Calibri" w:eastAsia="Calibri" w:hAnsi="Calibri" w:cs="Calibri"/>
          <w:spacing w:val="1"/>
          <w:sz w:val="22"/>
          <w:szCs w:val="22"/>
        </w:rPr>
        <w:t>32</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Taxes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duties</w:t>
      </w:r>
    </w:p>
    <w:p>
      <w:pPr>
        <w:tabs>
          <w:tab w:val="left" w:pos="1360"/>
        </w:tabs>
        <w:spacing w:before="1" w:after="200"/>
        <w:ind w:left="118"/>
        <w:rPr>
          <w:sz w:val="22"/>
          <w:szCs w:val="22"/>
        </w:rPr>
      </w:pPr>
      <w:r>
        <w:rPr>
          <w:rFonts w:ascii="Calibri" w:eastAsia="Calibri" w:hAnsi="Calibri" w:cs="Calibri"/>
          <w:spacing w:val="1"/>
          <w:sz w:val="22"/>
          <w:szCs w:val="22"/>
        </w:rPr>
        <w:t>33</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National</w:t>
      </w:r>
      <w:r>
        <w:rPr>
          <w:rFonts w:ascii="Calibri" w:eastAsia="Calibri" w:hAnsi="Calibri" w:cs="Calibri"/>
          <w:spacing w:val="-10"/>
          <w:sz w:val="22"/>
          <w:szCs w:val="22"/>
        </w:rPr>
        <w:t xml:space="preserve"> </w:t>
      </w:r>
      <w:r>
        <w:rPr>
          <w:rFonts w:ascii="Calibri" w:eastAsia="Calibri" w:hAnsi="Calibri" w:cs="Calibri"/>
          <w:sz w:val="22"/>
          <w:szCs w:val="22"/>
        </w:rPr>
        <w:t>Indus</w:t>
      </w:r>
      <w:r>
        <w:rPr>
          <w:rFonts w:ascii="Calibri" w:eastAsia="Calibri" w:hAnsi="Calibri" w:cs="Calibri"/>
          <w:spacing w:val="-1"/>
          <w:sz w:val="22"/>
          <w:szCs w:val="22"/>
        </w:rPr>
        <w:t>t</w:t>
      </w:r>
      <w:r>
        <w:rPr>
          <w:rFonts w:ascii="Calibri" w:eastAsia="Calibri" w:hAnsi="Calibri" w:cs="Calibri"/>
          <w:spacing w:val="1"/>
          <w:sz w:val="22"/>
          <w:szCs w:val="22"/>
        </w:rPr>
        <w:t>r</w:t>
      </w:r>
      <w:r>
        <w:rPr>
          <w:rFonts w:ascii="Calibri" w:eastAsia="Calibri" w:hAnsi="Calibri" w:cs="Calibri"/>
          <w:sz w:val="22"/>
          <w:szCs w:val="22"/>
        </w:rPr>
        <w:t>ial</w:t>
      </w:r>
      <w:r>
        <w:rPr>
          <w:rFonts w:ascii="Calibri" w:eastAsia="Calibri" w:hAnsi="Calibri" w:cs="Calibri"/>
          <w:spacing w:val="-11"/>
          <w:sz w:val="22"/>
          <w:szCs w:val="22"/>
        </w:rPr>
        <w:t xml:space="preserve"> </w:t>
      </w:r>
      <w:r>
        <w:rPr>
          <w:rFonts w:ascii="Calibri" w:eastAsia="Calibri" w:hAnsi="Calibri" w:cs="Calibri"/>
          <w:sz w:val="22"/>
          <w:szCs w:val="22"/>
        </w:rPr>
        <w:t>Parti</w:t>
      </w:r>
      <w:r>
        <w:rPr>
          <w:rFonts w:ascii="Calibri" w:eastAsia="Calibri" w:hAnsi="Calibri" w:cs="Calibri"/>
          <w:spacing w:val="-1"/>
          <w:sz w:val="22"/>
          <w:szCs w:val="22"/>
        </w:rPr>
        <w:t>c</w:t>
      </w:r>
      <w:r>
        <w:rPr>
          <w:rFonts w:ascii="Calibri" w:eastAsia="Calibri" w:hAnsi="Calibri" w:cs="Calibri"/>
          <w:sz w:val="22"/>
          <w:szCs w:val="22"/>
        </w:rPr>
        <w:t>ipation</w:t>
      </w:r>
      <w:r>
        <w:rPr>
          <w:rFonts w:ascii="Calibri" w:eastAsia="Calibri" w:hAnsi="Calibri" w:cs="Calibri"/>
          <w:spacing w:val="-14"/>
          <w:sz w:val="22"/>
          <w:szCs w:val="22"/>
        </w:rPr>
        <w:t xml:space="preserve"> </w:t>
      </w:r>
      <w:r>
        <w:rPr>
          <w:rFonts w:ascii="Calibri" w:eastAsia="Calibri" w:hAnsi="Calibri" w:cs="Calibri"/>
          <w:sz w:val="22"/>
          <w:szCs w:val="22"/>
        </w:rPr>
        <w:t>Programme</w:t>
      </w:r>
      <w:r>
        <w:rPr>
          <w:rFonts w:ascii="Calibri" w:eastAsia="Calibri" w:hAnsi="Calibri" w:cs="Calibri"/>
          <w:spacing w:val="-13"/>
          <w:sz w:val="22"/>
          <w:szCs w:val="22"/>
        </w:rPr>
        <w:t xml:space="preserve"> </w:t>
      </w:r>
      <w:r>
        <w:rPr>
          <w:rFonts w:ascii="Calibri" w:eastAsia="Calibri" w:hAnsi="Calibri" w:cs="Calibri"/>
          <w:sz w:val="22"/>
          <w:szCs w:val="22"/>
        </w:rPr>
        <w:t>(NIPP)</w:t>
      </w:r>
    </w:p>
    <w:p>
      <w:pPr>
        <w:tabs>
          <w:tab w:val="left" w:pos="1360"/>
        </w:tabs>
        <w:spacing w:before="0" w:after="200" w:line="322" w:lineRule="atLeast"/>
        <w:ind w:left="118"/>
        <w:rPr>
          <w:sz w:val="24"/>
          <w:szCs w:val="24"/>
        </w:rPr>
      </w:pPr>
      <w:r>
        <w:rPr>
          <w:rFonts w:ascii="Calibri" w:eastAsia="Calibri" w:hAnsi="Calibri" w:cs="Calibri"/>
          <w:spacing w:val="1"/>
          <w:sz w:val="22"/>
          <w:szCs w:val="22"/>
        </w:rPr>
        <w:t>34</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Proh</w:t>
      </w:r>
      <w:r>
        <w:rPr>
          <w:rFonts w:ascii="Calibri" w:eastAsia="Calibri" w:hAnsi="Calibri" w:cs="Calibri"/>
          <w:spacing w:val="-1"/>
          <w:sz w:val="22"/>
          <w:szCs w:val="22"/>
        </w:rPr>
        <w:t>i</w:t>
      </w:r>
      <w:r>
        <w:rPr>
          <w:rFonts w:ascii="Calibri" w:eastAsia="Calibri" w:hAnsi="Calibri" w:cs="Calibri"/>
          <w:sz w:val="22"/>
          <w:szCs w:val="22"/>
        </w:rPr>
        <w:t>bit</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3"/>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restrictive</w:t>
      </w:r>
      <w:r>
        <w:rPr>
          <w:rFonts w:ascii="Calibri" w:eastAsia="Calibri" w:hAnsi="Calibri" w:cs="Calibri"/>
          <w:spacing w:val="-11"/>
          <w:sz w:val="22"/>
          <w:szCs w:val="22"/>
        </w:rPr>
        <w:t xml:space="preserve"> </w:t>
      </w:r>
      <w:r>
        <w:rPr>
          <w:rFonts w:ascii="Calibri" w:eastAsia="Calibri" w:hAnsi="Calibri" w:cs="Calibri"/>
          <w:sz w:val="22"/>
          <w:szCs w:val="22"/>
        </w:rPr>
        <w:t>practices</w:t>
      </w:r>
    </w:p>
    <w:p>
      <w:pPr>
        <w:spacing w:before="0" w:after="200" w:line="322" w:lineRule="atLeast"/>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r>
        <w:rPr>
          <w:rFonts w:ascii="Calibri" w:eastAsia="Calibri" w:hAnsi="Calibri" w:cs="Calibri"/>
          <w:b/>
          <w:bCs/>
          <w:sz w:val="22"/>
          <w:szCs w:val="22"/>
        </w:rPr>
        <w:t>General Conditions of Contract</w:t>
      </w:r>
    </w:p>
    <w:p>
      <w:pPr>
        <w:spacing w:before="0" w:after="200"/>
        <w:rPr>
          <w:sz w:val="22"/>
          <w:szCs w:val="22"/>
        </w:rPr>
      </w:pPr>
      <w:r>
        <w:rPr>
          <w:rFonts w:ascii="Calibri" w:eastAsia="Calibri" w:hAnsi="Calibri" w:cs="Calibri"/>
          <w:b/>
          <w:bCs/>
          <w:sz w:val="22"/>
          <w:szCs w:val="22"/>
        </w:rPr>
        <w:t>Definitions</w:t>
      </w:r>
    </w:p>
    <w:p>
      <w:pPr>
        <w:spacing w:before="0" w:after="200"/>
        <w:rPr>
          <w:sz w:val="22"/>
          <w:szCs w:val="22"/>
        </w:rPr>
      </w:pPr>
      <w:r>
        <w:rPr>
          <w:rFonts w:ascii="Calibri" w:eastAsia="Calibri" w:hAnsi="Calibri" w:cs="Calibri"/>
          <w:sz w:val="22"/>
          <w:szCs w:val="22"/>
        </w:rPr>
        <w:t>The following terms shall be interpreted as indicated:</w:t>
      </w:r>
    </w:p>
    <w:p>
      <w:pPr>
        <w:spacing w:before="0" w:after="0"/>
        <w:ind w:left="360"/>
        <w:rPr>
          <w:sz w:val="22"/>
          <w:szCs w:val="22"/>
        </w:rPr>
      </w:pPr>
    </w:p>
    <w:p>
      <w:pPr>
        <w:spacing w:before="0" w:after="0" w:line="288" w:lineRule="auto"/>
        <w:ind w:left="993" w:hanging="993"/>
        <w:rPr>
          <w:sz w:val="22"/>
          <w:szCs w:val="22"/>
        </w:rPr>
      </w:pPr>
      <w:r>
        <w:rPr>
          <w:rFonts w:ascii="Calibri" w:eastAsia="Calibri" w:hAnsi="Calibri" w:cs="Calibri"/>
          <w:sz w:val="22"/>
          <w:szCs w:val="22"/>
        </w:rPr>
        <w:t>1.1</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“Closing time” </w:t>
      </w:r>
      <w:r>
        <w:rPr>
          <w:rFonts w:ascii="Calibri" w:eastAsia="Calibri" w:hAnsi="Calibri" w:cs="Calibri"/>
          <w:sz w:val="22"/>
          <w:szCs w:val="22"/>
        </w:rPr>
        <w:t>means the date and hour specified in the bidding documents for the receipt of bids.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“Contract” </w:t>
      </w:r>
      <w:r>
        <w:rPr>
          <w:rFonts w:ascii="Calibri" w:eastAsia="Calibri" w:hAnsi="Calibri" w:cs="Calibri"/>
          <w:sz w:val="22"/>
          <w:szCs w:val="22"/>
        </w:rPr>
        <w:t>means the written agreement entered into between the purchaser and the supplier, as recorded in the contract form signed by the parties, including all attachments and appendices thereto and all documents incorporated by reference therein.</w:t>
      </w:r>
    </w:p>
    <w:p>
      <w:pPr>
        <w:spacing w:before="0" w:after="0"/>
        <w:ind w:left="360"/>
        <w:rPr>
          <w:sz w:val="22"/>
          <w:szCs w:val="22"/>
        </w:rPr>
      </w:pPr>
    </w:p>
    <w:p>
      <w:pPr>
        <w:spacing w:before="0" w:after="0" w:line="288" w:lineRule="auto"/>
        <w:ind w:left="993" w:hanging="993"/>
        <w:rPr>
          <w:sz w:val="22"/>
          <w:szCs w:val="22"/>
        </w:rPr>
      </w:pPr>
      <w:r>
        <w:rPr>
          <w:rFonts w:ascii="Calibri" w:eastAsia="Calibri" w:hAnsi="Calibri" w:cs="Calibri"/>
          <w:sz w:val="22"/>
          <w:szCs w:val="22"/>
        </w:rPr>
        <w:t>1.3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“Contract price”</w:t>
      </w:r>
      <w:r>
        <w:rPr>
          <w:rFonts w:ascii="Calibri" w:eastAsia="Calibri" w:hAnsi="Calibri" w:cs="Calibri"/>
          <w:sz w:val="22"/>
          <w:szCs w:val="22"/>
        </w:rPr>
        <w:t xml:space="preserve"> means the price payable to the supplier under the contract for the full and proper performance of his contractual obligations.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“Corrupt practice”</w:t>
      </w:r>
      <w:r>
        <w:rPr>
          <w:rFonts w:ascii="Calibri" w:eastAsia="Calibri" w:hAnsi="Calibri" w:cs="Calibri"/>
          <w:sz w:val="22"/>
          <w:szCs w:val="22"/>
        </w:rPr>
        <w:t xml:space="preserve"> means the offering, giving, receiving, or soliciting of anything of value to influence the action of a public official in the procurement process or in contract execution.</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1.5</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"Countervailing duties"</w:t>
      </w:r>
      <w:r>
        <w:rPr>
          <w:rFonts w:ascii="Calibri" w:eastAsia="Calibri" w:hAnsi="Calibri" w:cs="Calibri"/>
          <w:sz w:val="22"/>
          <w:szCs w:val="22"/>
        </w:rPr>
        <w:t xml:space="preserve"> are imposed in cases where an enterprise abroad is subsidized by its government and encouraged to market its products internationally.</w:t>
      </w:r>
    </w:p>
    <w:p>
      <w:pPr>
        <w:spacing w:before="0" w:after="0"/>
        <w:ind w:left="993" w:hanging="993"/>
        <w:rPr>
          <w:sz w:val="22"/>
          <w:szCs w:val="22"/>
        </w:rPr>
      </w:pPr>
    </w:p>
    <w:p>
      <w:pPr>
        <w:spacing w:before="0" w:after="0"/>
        <w:ind w:left="993" w:hanging="993"/>
        <w:rPr>
          <w:sz w:val="22"/>
          <w:szCs w:val="22"/>
        </w:rPr>
      </w:pPr>
      <w:r>
        <w:rPr>
          <w:rFonts w:ascii="Calibri" w:eastAsia="Calibri" w:hAnsi="Calibri" w:cs="Calibri"/>
          <w:sz w:val="22"/>
          <w:szCs w:val="22"/>
        </w:rPr>
        <w:t xml:space="preserve">1.6 </w:t>
      </w:r>
      <w:r>
        <w:rPr>
          <w:rFonts w:ascii="Calibri" w:eastAsia="Calibri" w:hAnsi="Calibri" w:cs="Calibri"/>
          <w:sz w:val="22"/>
          <w:szCs w:val="22"/>
        </w:rPr>
        <w:tab/>
      </w:r>
      <w:r>
        <w:rPr>
          <w:rFonts w:ascii="Calibri" w:eastAsia="Calibri" w:hAnsi="Calibri" w:cs="Calibri"/>
          <w:b/>
          <w:bCs/>
          <w:sz w:val="22"/>
          <w:szCs w:val="22"/>
        </w:rPr>
        <w:t>“Country of origin”</w:t>
      </w:r>
      <w:r>
        <w:rPr>
          <w:rFonts w:ascii="Calibri" w:eastAsia="Calibri" w:hAnsi="Calibri" w:cs="Calibri"/>
          <w:sz w:val="22"/>
          <w:szCs w:val="22"/>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1.6</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“Day”</w:t>
      </w:r>
      <w:r>
        <w:rPr>
          <w:rFonts w:ascii="Calibri" w:eastAsia="Calibri" w:hAnsi="Calibri" w:cs="Calibri"/>
          <w:sz w:val="22"/>
          <w:szCs w:val="22"/>
        </w:rPr>
        <w:t xml:space="preserve"> means calendar day.</w:t>
      </w:r>
    </w:p>
    <w:p>
      <w:pPr>
        <w:spacing w:before="0" w:after="0"/>
        <w:ind w:left="360"/>
        <w:rPr>
          <w:sz w:val="22"/>
          <w:szCs w:val="22"/>
        </w:rPr>
      </w:pPr>
    </w:p>
    <w:p>
      <w:pPr>
        <w:spacing w:before="0" w:after="0" w:line="288" w:lineRule="auto"/>
        <w:ind w:left="993" w:hanging="993"/>
        <w:rPr>
          <w:sz w:val="22"/>
          <w:szCs w:val="22"/>
        </w:rPr>
      </w:pPr>
      <w:r>
        <w:rPr>
          <w:rFonts w:ascii="Calibri" w:eastAsia="Calibri" w:hAnsi="Calibri" w:cs="Calibri"/>
          <w:sz w:val="22"/>
          <w:szCs w:val="22"/>
        </w:rPr>
        <w:t>1.7</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“Delivery” </w:t>
      </w:r>
      <w:r>
        <w:rPr>
          <w:rFonts w:ascii="Calibri" w:eastAsia="Calibri" w:hAnsi="Calibri" w:cs="Calibri"/>
          <w:sz w:val="22"/>
          <w:szCs w:val="22"/>
        </w:rPr>
        <w:t>means delivery in compliance of the conditions of the contract or order.</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1.8</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“Delivery ex stock”</w:t>
      </w:r>
      <w:r>
        <w:rPr>
          <w:rFonts w:ascii="Calibri" w:eastAsia="Calibri" w:hAnsi="Calibri" w:cs="Calibri"/>
          <w:sz w:val="22"/>
          <w:szCs w:val="22"/>
        </w:rPr>
        <w:t xml:space="preserve"> means immediate delivery directly from stock actually on hand.</w:t>
      </w:r>
    </w:p>
    <w:p>
      <w:pPr>
        <w:spacing w:before="0" w:after="0"/>
        <w:ind w:left="993" w:hanging="993"/>
        <w:rPr>
          <w:sz w:val="22"/>
          <w:szCs w:val="22"/>
        </w:rPr>
      </w:pP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1.9</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“Delivery into consignees store or to his site”</w:t>
      </w:r>
      <w:r>
        <w:rPr>
          <w:rFonts w:ascii="Calibri" w:eastAsia="Calibri" w:hAnsi="Calibri" w:cs="Calibri"/>
          <w:sz w:val="22"/>
          <w:szCs w:val="22"/>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1.10</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"Dumping"</w:t>
      </w:r>
      <w:r>
        <w:rPr>
          <w:rFonts w:ascii="Calibri" w:eastAsia="Calibri" w:hAnsi="Calibri" w:cs="Calibri"/>
          <w:sz w:val="22"/>
          <w:szCs w:val="22"/>
        </w:rPr>
        <w:t xml:space="preserve"> occurs when a private enterprise abroad market its goods on own initiative in the RSA at lower prices than that of the country of origin and which have the potential to harm the local industries in the RSA.</w:t>
      </w:r>
    </w:p>
    <w:p>
      <w:pPr>
        <w:spacing w:before="0" w:after="200"/>
        <w:rPr>
          <w:sz w:val="22"/>
          <w:szCs w:val="22"/>
        </w:rPr>
      </w:pPr>
    </w:p>
    <w:p>
      <w:pPr>
        <w:spacing w:before="0" w:after="0" w:line="288" w:lineRule="auto"/>
        <w:ind w:left="993" w:hanging="993"/>
        <w:rPr>
          <w:sz w:val="22"/>
          <w:szCs w:val="22"/>
        </w:rPr>
      </w:pPr>
      <w:r>
        <w:rPr>
          <w:rFonts w:ascii="Calibri" w:eastAsia="Calibri" w:hAnsi="Calibri" w:cs="Calibri"/>
          <w:sz w:val="22"/>
          <w:szCs w:val="22"/>
        </w:rPr>
        <w:t>1.11</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”Force majeure” </w:t>
      </w:r>
      <w:r>
        <w:rPr>
          <w:rFonts w:ascii="Calibri" w:eastAsia="Calibri" w:hAnsi="Calibri" w:cs="Calibri"/>
          <w:sz w:val="22"/>
          <w:szCs w:val="22"/>
        </w:rPr>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“Fraudulent practice” </w:t>
      </w:r>
      <w:r>
        <w:rPr>
          <w:rFonts w:ascii="Calibri" w:eastAsia="Calibri" w:hAnsi="Calibri" w:cs="Calibri"/>
          <w:sz w:val="22"/>
          <w:szCs w:val="22"/>
        </w:rPr>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pPr>
        <w:spacing w:before="0" w:after="200"/>
        <w:rPr>
          <w:sz w:val="22"/>
          <w:szCs w:val="22"/>
        </w:rPr>
      </w:pPr>
    </w:p>
    <w:p>
      <w:pPr>
        <w:spacing w:before="0" w:after="0" w:line="288" w:lineRule="auto"/>
        <w:ind w:left="360" w:hanging="360"/>
        <w:rPr>
          <w:sz w:val="22"/>
          <w:szCs w:val="22"/>
        </w:rPr>
      </w:pPr>
      <w:r>
        <w:rPr>
          <w:rFonts w:ascii="Calibri" w:eastAsia="Calibri" w:hAnsi="Calibri" w:cs="Calibri"/>
          <w:sz w:val="22"/>
          <w:szCs w:val="22"/>
        </w:rPr>
        <w:t>1.13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“GCC” </w:t>
      </w:r>
      <w:r>
        <w:rPr>
          <w:rFonts w:ascii="Calibri" w:eastAsia="Calibri" w:hAnsi="Calibri" w:cs="Calibri"/>
          <w:sz w:val="22"/>
          <w:szCs w:val="22"/>
        </w:rPr>
        <w:t>means the General Conditions of Contract.</w:t>
      </w:r>
    </w:p>
    <w:p>
      <w:pPr>
        <w:spacing w:before="0" w:after="200"/>
        <w:rPr>
          <w:sz w:val="22"/>
          <w:szCs w:val="22"/>
        </w:rPr>
      </w:pPr>
    </w:p>
    <w:p>
      <w:pPr>
        <w:spacing w:before="0" w:after="0" w:line="288" w:lineRule="auto"/>
        <w:ind w:left="993" w:hanging="993"/>
        <w:rPr>
          <w:sz w:val="22"/>
          <w:szCs w:val="22"/>
        </w:rPr>
      </w:pPr>
      <w:r>
        <w:rPr>
          <w:rFonts w:ascii="Calibri" w:eastAsia="Calibri" w:hAnsi="Calibri" w:cs="Calibri"/>
          <w:sz w:val="22"/>
          <w:szCs w:val="22"/>
        </w:rPr>
        <w:t>1.14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“Goods”</w:t>
      </w:r>
      <w:r>
        <w:rPr>
          <w:rFonts w:ascii="Calibri" w:eastAsia="Calibri" w:hAnsi="Calibri" w:cs="Calibri"/>
          <w:sz w:val="22"/>
          <w:szCs w:val="22"/>
        </w:rPr>
        <w:t xml:space="preserve"> means all of the equipment, machinery, and/or other materials that the supplier is required to supply to the purchaser under the contract.</w:t>
      </w:r>
    </w:p>
    <w:p>
      <w:pPr>
        <w:spacing w:before="0" w:after="0" w:line="288" w:lineRule="auto"/>
        <w:ind w:left="993" w:hanging="993"/>
        <w:rPr>
          <w:sz w:val="22"/>
          <w:szCs w:val="22"/>
        </w:rPr>
      </w:pPr>
      <w:r>
        <w:rPr>
          <w:rFonts w:ascii="Calibri" w:eastAsia="Calibri" w:hAnsi="Calibri" w:cs="Calibri"/>
          <w:sz w:val="22"/>
          <w:szCs w:val="22"/>
        </w:rPr>
        <w:t>1.15</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“Imported content”</w:t>
      </w:r>
      <w:r>
        <w:rPr>
          <w:rFonts w:ascii="Calibri" w:eastAsia="Calibri" w:hAnsi="Calibri" w:cs="Calibri"/>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pPr>
        <w:spacing w:before="0" w:after="0"/>
        <w:ind w:left="540"/>
        <w:rPr>
          <w:sz w:val="22"/>
          <w:szCs w:val="22"/>
        </w:rPr>
      </w:pPr>
    </w:p>
    <w:p>
      <w:pPr>
        <w:spacing w:before="0" w:after="0" w:line="288" w:lineRule="auto"/>
        <w:ind w:left="993" w:hanging="993"/>
        <w:rPr>
          <w:sz w:val="22"/>
          <w:szCs w:val="22"/>
        </w:rPr>
      </w:pPr>
      <w:r>
        <w:rPr>
          <w:rFonts w:ascii="Calibri" w:eastAsia="Calibri" w:hAnsi="Calibri" w:cs="Calibri"/>
          <w:sz w:val="22"/>
          <w:szCs w:val="22"/>
        </w:rPr>
        <w:t>1.16</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“Local content”</w:t>
      </w:r>
      <w:r>
        <w:rPr>
          <w:rFonts w:ascii="Calibri" w:eastAsia="Calibri" w:hAnsi="Calibri" w:cs="Calibri"/>
          <w:sz w:val="22"/>
          <w:szCs w:val="22"/>
        </w:rPr>
        <w:t xml:space="preserve"> means that portion of the bidding price which is not included in the imported content provided that local manufacture does take place.</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1.17</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“Manufacture”</w:t>
      </w:r>
      <w:r>
        <w:rPr>
          <w:rFonts w:ascii="Calibri" w:eastAsia="Calibri" w:hAnsi="Calibri" w:cs="Calibri"/>
          <w:sz w:val="22"/>
          <w:szCs w:val="22"/>
        </w:rPr>
        <w:t xml:space="preserve"> means the production of products in a factory using labour, materials, components and machinery and includes other related value-adding activities.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1.18</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“Order”</w:t>
      </w:r>
      <w:r>
        <w:rPr>
          <w:rFonts w:ascii="Calibri" w:eastAsia="Calibri" w:hAnsi="Calibri" w:cs="Calibri"/>
          <w:sz w:val="22"/>
          <w:szCs w:val="22"/>
        </w:rPr>
        <w:t xml:space="preserve"> means an official written order issued for the supply of goods or works or the rendering of a service.</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1.19</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“Project site,”</w:t>
      </w:r>
      <w:r>
        <w:rPr>
          <w:rFonts w:ascii="Calibri" w:eastAsia="Calibri" w:hAnsi="Calibri" w:cs="Calibri"/>
          <w:sz w:val="22"/>
          <w:szCs w:val="22"/>
        </w:rPr>
        <w:t xml:space="preserve"> where applicable, means the place indicated in bidding documents.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1.20</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“Purchaser”</w:t>
      </w:r>
      <w:r>
        <w:rPr>
          <w:rFonts w:ascii="Calibri" w:eastAsia="Calibri" w:hAnsi="Calibri" w:cs="Calibri"/>
          <w:sz w:val="22"/>
          <w:szCs w:val="22"/>
        </w:rPr>
        <w:t xml:space="preserve"> means the organization purchasing the goods.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1.21</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“Republic” </w:t>
      </w:r>
      <w:r>
        <w:rPr>
          <w:rFonts w:ascii="Calibri" w:eastAsia="Calibri" w:hAnsi="Calibri" w:cs="Calibri"/>
          <w:sz w:val="22"/>
          <w:szCs w:val="22"/>
        </w:rPr>
        <w:t>means the Republic of South Africa.</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“SCC”</w:t>
      </w:r>
      <w:r>
        <w:rPr>
          <w:rFonts w:ascii="Calibri" w:eastAsia="Calibri" w:hAnsi="Calibri" w:cs="Calibri"/>
          <w:sz w:val="22"/>
          <w:szCs w:val="22"/>
        </w:rPr>
        <w:t xml:space="preserve"> means the Special Conditions of Contract.</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“Services”</w:t>
      </w:r>
      <w:r>
        <w:rPr>
          <w:rFonts w:ascii="Calibri" w:eastAsia="Calibri" w:hAnsi="Calibri" w:cs="Calibri"/>
          <w:sz w:val="22"/>
          <w:szCs w:val="22"/>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6 obligations of the supplier covered under the contract.</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“Written”</w:t>
      </w:r>
      <w:r>
        <w:rPr>
          <w:rFonts w:ascii="Calibri" w:eastAsia="Calibri" w:hAnsi="Calibri" w:cs="Calibri"/>
          <w:sz w:val="22"/>
          <w:szCs w:val="22"/>
        </w:rPr>
        <w:t xml:space="preserve"> or </w:t>
      </w:r>
      <w:r>
        <w:rPr>
          <w:rFonts w:ascii="Calibri" w:eastAsia="Calibri" w:hAnsi="Calibri" w:cs="Calibri"/>
          <w:b/>
          <w:bCs/>
          <w:sz w:val="22"/>
          <w:szCs w:val="22"/>
        </w:rPr>
        <w:t xml:space="preserve">“in writing” </w:t>
      </w:r>
      <w:r>
        <w:rPr>
          <w:rFonts w:ascii="Calibri" w:eastAsia="Calibri" w:hAnsi="Calibri" w:cs="Calibri"/>
          <w:sz w:val="22"/>
          <w:szCs w:val="22"/>
        </w:rPr>
        <w:t>means handwritten in ink or any form of electronic or mechanical writing.</w:t>
      </w:r>
    </w:p>
    <w:p>
      <w:pPr>
        <w:spacing w:before="0" w:after="0"/>
        <w:ind w:left="810"/>
        <w:rPr>
          <w:sz w:val="22"/>
          <w:szCs w:val="22"/>
        </w:rPr>
      </w:pPr>
    </w:p>
    <w:p>
      <w:pPr>
        <w:numPr>
          <w:ilvl w:val="0"/>
          <w:numId w:val="45"/>
        </w:numPr>
        <w:pBdr>
          <w:left w:val="none" w:sz="0" w:space="4" w:color="auto"/>
        </w:pBdr>
        <w:spacing w:before="0" w:line="288" w:lineRule="auto"/>
        <w:ind w:left="630" w:right="0" w:hanging="355"/>
        <w:jc w:val="left"/>
        <w:rPr>
          <w:rFonts w:ascii="Calibri" w:eastAsia="Calibri" w:hAnsi="Calibri" w:cs="Calibri"/>
          <w:b/>
          <w:bCs/>
          <w:sz w:val="22"/>
          <w:szCs w:val="22"/>
        </w:rPr>
      </w:pPr>
      <w:r>
        <w:rPr>
          <w:rFonts w:ascii="Calibri" w:eastAsia="Calibri" w:hAnsi="Calibri" w:cs="Calibri"/>
          <w:b/>
          <w:bCs/>
          <w:sz w:val="22"/>
          <w:szCs w:val="22"/>
        </w:rPr>
        <w:t>Application</w:t>
      </w:r>
    </w:p>
    <w:p>
      <w:pPr>
        <w:numPr>
          <w:ilvl w:val="1"/>
          <w:numId w:val="46"/>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pPr>
        <w:numPr>
          <w:ilvl w:val="1"/>
          <w:numId w:val="46"/>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Where applicable, special conditions of contract are also laid down to cover specific supplies, services or works.</w:t>
      </w:r>
    </w:p>
    <w:p>
      <w:pPr>
        <w:numPr>
          <w:ilvl w:val="1"/>
          <w:numId w:val="46"/>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Where such special conditions of contract are in conflict with these general conditions, the special conditions shall apply.</w:t>
      </w:r>
    </w:p>
    <w:p>
      <w:pPr>
        <w:spacing w:before="0" w:after="200"/>
        <w:rPr>
          <w:sz w:val="22"/>
          <w:szCs w:val="22"/>
        </w:rPr>
      </w:pPr>
    </w:p>
    <w:p>
      <w:pPr>
        <w:numPr>
          <w:ilvl w:val="0"/>
          <w:numId w:val="47"/>
        </w:numPr>
        <w:pBdr>
          <w:left w:val="none" w:sz="0" w:space="29" w:color="auto"/>
        </w:pBdr>
        <w:spacing w:before="0" w:line="288" w:lineRule="auto"/>
        <w:ind w:left="851" w:right="0" w:hanging="846"/>
        <w:jc w:val="left"/>
        <w:rPr>
          <w:rFonts w:ascii="Calibri" w:eastAsia="Calibri" w:hAnsi="Calibri" w:cs="Calibri"/>
          <w:b/>
          <w:bCs/>
          <w:sz w:val="22"/>
          <w:szCs w:val="22"/>
        </w:rPr>
      </w:pPr>
      <w:r>
        <w:rPr>
          <w:rFonts w:ascii="Calibri" w:eastAsia="Calibri" w:hAnsi="Calibri" w:cs="Calibri"/>
          <w:b/>
          <w:bCs/>
          <w:sz w:val="22"/>
          <w:szCs w:val="22"/>
        </w:rPr>
        <w:t xml:space="preserve">General </w:t>
      </w:r>
    </w:p>
    <w:p>
      <w:pPr>
        <w:numPr>
          <w:ilvl w:val="1"/>
          <w:numId w:val="47"/>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Unless otherwise indicated in the bidding documents, the purchaser shall not be liable for any expense incurred in the preparation and submission of a bid. Where applicable a non-refundable fee for documents may be charged.</w:t>
      </w:r>
    </w:p>
    <w:p>
      <w:pPr>
        <w:tabs>
          <w:tab w:val="left" w:pos="450"/>
        </w:tabs>
        <w:spacing w:before="0" w:after="0"/>
        <w:ind w:left="993" w:hanging="993"/>
        <w:rPr>
          <w:sz w:val="22"/>
          <w:szCs w:val="22"/>
        </w:rPr>
      </w:pPr>
      <w:r>
        <w:rPr>
          <w:rFonts w:ascii="Calibri" w:eastAsia="Calibri" w:hAnsi="Calibri" w:cs="Calibri"/>
          <w:sz w:val="22"/>
          <w:szCs w:val="22"/>
        </w:rPr>
        <w:t>3.2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 xml:space="preserve"> With certain exceptions, invitations to bid are only published in the Government Tender Bulletin. The Government Tender Bulletin may be obtained directly from the Government Printer, Private Bag X85, Pretoria 0001, or accessed electronically from </w:t>
      </w:r>
      <w:hyperlink r:id="rId10" w:history="1">
        <w:r>
          <w:rPr>
            <w:rFonts w:ascii="Calibri" w:eastAsia="Calibri" w:hAnsi="Calibri" w:cs="Calibri"/>
            <w:color w:val="0000FF"/>
            <w:sz w:val="22"/>
            <w:szCs w:val="22"/>
            <w:u w:val="single" w:color="0000FF"/>
          </w:rPr>
          <w:t>www.treasury.gov.za</w:t>
        </w:r>
      </w:hyperlink>
      <w:r>
        <w:rPr>
          <w:rFonts w:ascii="Calibri" w:eastAsia="Calibri" w:hAnsi="Calibri" w:cs="Calibri"/>
          <w:color w:val="0000FF"/>
          <w:sz w:val="22"/>
          <w:szCs w:val="22"/>
        </w:rPr>
        <w:t>.</w:t>
      </w:r>
    </w:p>
    <w:p>
      <w:pPr>
        <w:spacing w:before="0" w:after="200"/>
        <w:rPr>
          <w:sz w:val="22"/>
          <w:szCs w:val="22"/>
        </w:rPr>
      </w:pPr>
    </w:p>
    <w:p>
      <w:pPr>
        <w:numPr>
          <w:ilvl w:val="0"/>
          <w:numId w:val="48"/>
        </w:numPr>
        <w:pBdr>
          <w:left w:val="none" w:sz="0" w:space="4" w:color="auto"/>
        </w:pBdr>
        <w:spacing w:before="0" w:after="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Standards</w:t>
      </w:r>
    </w:p>
    <w:p>
      <w:pPr>
        <w:spacing w:before="0" w:after="0"/>
        <w:ind w:left="993" w:hanging="993"/>
        <w:rPr>
          <w:sz w:val="22"/>
          <w:szCs w:val="22"/>
        </w:rPr>
      </w:pPr>
      <w:r>
        <w:rPr>
          <w:rFonts w:ascii="Calibri" w:eastAsia="Calibri" w:hAnsi="Calibri" w:cs="Calibri"/>
          <w:sz w:val="22"/>
          <w:szCs w:val="22"/>
        </w:rPr>
        <w:t xml:space="preserve">4.1 </w:t>
      </w:r>
      <w:r>
        <w:rPr>
          <w:rFonts w:ascii="Calibri" w:eastAsia="Calibri" w:hAnsi="Calibri" w:cs="Calibri"/>
          <w:sz w:val="22"/>
          <w:szCs w:val="22"/>
        </w:rPr>
        <w:tab/>
      </w:r>
      <w:r>
        <w:rPr>
          <w:rFonts w:ascii="Calibri" w:eastAsia="Calibri" w:hAnsi="Calibri" w:cs="Calibri"/>
          <w:sz w:val="22"/>
          <w:szCs w:val="22"/>
        </w:rPr>
        <w:t>The goods supplied shall conform to the standards mentioned in the bidding documents and specifications.</w:t>
      </w:r>
    </w:p>
    <w:p>
      <w:pPr>
        <w:spacing w:before="0" w:after="200"/>
        <w:rPr>
          <w:sz w:val="22"/>
          <w:szCs w:val="22"/>
        </w:rPr>
      </w:pPr>
    </w:p>
    <w:p>
      <w:pPr>
        <w:numPr>
          <w:ilvl w:val="0"/>
          <w:numId w:val="49"/>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Use of contract documents and information; inspection.</w:t>
      </w:r>
    </w:p>
    <w:p>
      <w:pPr>
        <w:numPr>
          <w:ilvl w:val="1"/>
          <w:numId w:val="49"/>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pPr>
        <w:numPr>
          <w:ilvl w:val="1"/>
          <w:numId w:val="49"/>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supplier shall not, without the purchaser’s prior written consent, make use of any document or information mentioned in GCC clause 5.1 except for purposes of performing the contract. Any document, other than the contract itself mentioned in GCC clause 5.1 shall remain the property of the purchaser and shall be returned (all copies) to the purchaser on completion of the supplier’s performance under the contract if so required by the purchaser</w:t>
      </w:r>
    </w:p>
    <w:p>
      <w:pPr>
        <w:numPr>
          <w:ilvl w:val="1"/>
          <w:numId w:val="49"/>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supplier shall permit the purchaser to inspect the supplier’s records relating to the performance of the supplier and to have them audited by auditors appointed by the purchaser, if so required by the purchaser.</w:t>
      </w:r>
    </w:p>
    <w:p>
      <w:pPr>
        <w:spacing w:before="0" w:after="0"/>
        <w:ind w:left="993" w:hanging="993"/>
        <w:rPr>
          <w:sz w:val="22"/>
          <w:szCs w:val="22"/>
        </w:rPr>
      </w:pPr>
    </w:p>
    <w:p>
      <w:pPr>
        <w:numPr>
          <w:ilvl w:val="0"/>
          <w:numId w:val="50"/>
        </w:numPr>
        <w:pBdr>
          <w:left w:val="none" w:sz="0" w:space="31" w:color="auto"/>
        </w:pBdr>
        <w:spacing w:before="0" w:line="288" w:lineRule="auto"/>
        <w:ind w:left="993" w:right="0" w:hanging="988"/>
        <w:jc w:val="left"/>
        <w:rPr>
          <w:rFonts w:ascii="Calibri" w:eastAsia="Calibri" w:hAnsi="Calibri" w:cs="Calibri"/>
          <w:b/>
          <w:bCs/>
          <w:sz w:val="22"/>
          <w:szCs w:val="22"/>
        </w:rPr>
      </w:pPr>
      <w:r>
        <w:rPr>
          <w:rFonts w:ascii="Calibri" w:eastAsia="Calibri" w:hAnsi="Calibri" w:cs="Calibri"/>
          <w:b/>
          <w:bCs/>
          <w:sz w:val="22"/>
          <w:szCs w:val="22"/>
        </w:rPr>
        <w:t>Patent rights</w:t>
      </w:r>
    </w:p>
    <w:p>
      <w:pPr>
        <w:numPr>
          <w:ilvl w:val="1"/>
          <w:numId w:val="50"/>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supplier shall indemnify the purchaser against all third-party claims of infringement of patent, trademark, or industrial design rights arising from use of the goods or any part thereof by the purchaser.</w:t>
      </w:r>
    </w:p>
    <w:p>
      <w:pPr>
        <w:spacing w:before="0" w:after="200"/>
        <w:rPr>
          <w:sz w:val="22"/>
          <w:szCs w:val="22"/>
        </w:rPr>
      </w:pPr>
    </w:p>
    <w:p>
      <w:pPr>
        <w:numPr>
          <w:ilvl w:val="0"/>
          <w:numId w:val="51"/>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Performance security</w:t>
      </w:r>
    </w:p>
    <w:p>
      <w:pPr>
        <w:numPr>
          <w:ilvl w:val="1"/>
          <w:numId w:val="51"/>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Within thirty (30) days of receipt of the notification of contract award, the successful bidder shall furnish to the purchaser the performance security of the amount specified in SCC.</w:t>
      </w:r>
    </w:p>
    <w:p>
      <w:pPr>
        <w:numPr>
          <w:ilvl w:val="1"/>
          <w:numId w:val="51"/>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proceeds of the performance security shall be payable to the purchaser as compensation for any loss resulting from the supplier’s failure to complete his obligations under the contract.</w:t>
      </w:r>
    </w:p>
    <w:p>
      <w:pPr>
        <w:spacing w:before="0" w:after="0"/>
        <w:ind w:left="851" w:hanging="851"/>
        <w:rPr>
          <w:sz w:val="22"/>
          <w:szCs w:val="22"/>
        </w:rPr>
      </w:pPr>
      <w:r>
        <w:rPr>
          <w:rFonts w:ascii="Calibri" w:eastAsia="Calibri" w:hAnsi="Calibri" w:cs="Calibri"/>
          <w:sz w:val="22"/>
          <w:szCs w:val="22"/>
        </w:rPr>
        <w:t xml:space="preserve">7.3 </w:t>
      </w:r>
      <w:r>
        <w:rPr>
          <w:rFonts w:ascii="Calibri" w:eastAsia="Calibri" w:hAnsi="Calibri" w:cs="Calibri"/>
          <w:sz w:val="22"/>
          <w:szCs w:val="22"/>
        </w:rPr>
        <w:tab/>
      </w:r>
      <w:r>
        <w:rPr>
          <w:rFonts w:ascii="Calibri" w:eastAsia="Calibri" w:hAnsi="Calibri" w:cs="Calibri"/>
          <w:sz w:val="22"/>
          <w:szCs w:val="22"/>
        </w:rPr>
        <w:t>The performance security shall be denominated in the currency of the contract, or in a freely convertible currency acceptable to the purchaser and shall be in one of the following forms:</w:t>
      </w:r>
    </w:p>
    <w:p>
      <w:pPr>
        <w:spacing w:before="0" w:after="0"/>
        <w:ind w:left="851" w:hanging="851"/>
        <w:rPr>
          <w:sz w:val="22"/>
          <w:szCs w:val="22"/>
        </w:rPr>
      </w:pPr>
    </w:p>
    <w:p>
      <w:pPr>
        <w:spacing w:before="0" w:after="0" w:line="288" w:lineRule="auto"/>
        <w:ind w:left="851" w:hanging="851"/>
        <w:rPr>
          <w:sz w:val="22"/>
          <w:szCs w:val="22"/>
        </w:rPr>
      </w:pPr>
      <w:r>
        <w:rPr>
          <w:rFonts w:ascii="Calibri" w:eastAsia="Calibri" w:hAnsi="Calibri" w:cs="Calibri"/>
          <w:sz w:val="22"/>
          <w:szCs w:val="22"/>
        </w:rPr>
        <w:t>(a)</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pPr>
        <w:spacing w:before="0" w:after="0" w:line="288" w:lineRule="auto"/>
        <w:ind w:left="851" w:hanging="851"/>
        <w:rPr>
          <w:sz w:val="22"/>
          <w:szCs w:val="22"/>
        </w:rPr>
      </w:pPr>
      <w:r>
        <w:rPr>
          <w:rFonts w:ascii="Calibri" w:eastAsia="Calibri" w:hAnsi="Calibri" w:cs="Calibri"/>
          <w:sz w:val="22"/>
          <w:szCs w:val="22"/>
        </w:rPr>
        <w:t>(b)</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a cashier’s or certified cheque</w:t>
      </w:r>
    </w:p>
    <w:p>
      <w:pPr>
        <w:spacing w:before="0" w:after="0"/>
        <w:ind w:left="851" w:hanging="851"/>
        <w:rPr>
          <w:sz w:val="22"/>
          <w:szCs w:val="22"/>
        </w:rPr>
      </w:pPr>
      <w:r>
        <w:rPr>
          <w:rFonts w:ascii="Calibri" w:eastAsia="Calibri" w:hAnsi="Calibri" w:cs="Calibri"/>
          <w:sz w:val="22"/>
          <w:szCs w:val="22"/>
        </w:rPr>
        <w:t xml:space="preserve">7.4 </w:t>
      </w:r>
      <w:r>
        <w:rPr>
          <w:rFonts w:ascii="Calibri" w:eastAsia="Calibri" w:hAnsi="Calibri" w:cs="Calibri"/>
          <w:sz w:val="22"/>
          <w:szCs w:val="22"/>
        </w:rPr>
        <w:tab/>
      </w:r>
      <w:r>
        <w:rPr>
          <w:rFonts w:ascii="Calibri" w:eastAsia="Calibri" w:hAnsi="Calibri" w:cs="Calibri"/>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pPr>
        <w:spacing w:before="0" w:after="200"/>
        <w:rPr>
          <w:sz w:val="22"/>
          <w:szCs w:val="22"/>
        </w:rPr>
      </w:pPr>
    </w:p>
    <w:p>
      <w:pPr>
        <w:numPr>
          <w:ilvl w:val="0"/>
          <w:numId w:val="52"/>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Inspections, tests and analyses</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All pre-bidding testing will be for the account of the bidder.</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 xml:space="preserve">If it is a bid condition that supplies to be produced or services to be rendered should at any stage during production or execution or on completion be subject to inspection, the premises of the </w:t>
      </w:r>
      <w:r>
        <w:rPr>
          <w:rFonts w:ascii="Calibri" w:eastAsia="Calibri" w:hAnsi="Calibri" w:cs="Calibri"/>
          <w:b w:val="0"/>
          <w:bCs w:val="0"/>
          <w:sz w:val="22"/>
          <w:szCs w:val="22"/>
        </w:rPr>
        <w:t>bidder or contractor shall be open, at all reasonable hours, for inspection by a representative of the Department or an organization acting on behalf of the Department.</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If the inspections, tests and analyses referred to in clauses 8.2 and 8.3 show the supplies to be in accordance with the contract requirements, the cost of the inspections, tests and analyses shall be defrayed by the purchaser.</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Supplies and services which are referred to in clauses 8.2 and 8.3 and which do not comply with the contract requirements may be rejected.</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pPr>
        <w:numPr>
          <w:ilvl w:val="1"/>
          <w:numId w:val="53"/>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provisions of clauses 8.4 to 8.7 shall not prejudice the right of the purchaser to cancel the contract on account of a breach of the conditions thereof, or to act in terms of Clause 23 of GCC.</w:t>
      </w:r>
    </w:p>
    <w:p>
      <w:pPr>
        <w:spacing w:before="0" w:after="0" w:line="288" w:lineRule="auto"/>
        <w:ind w:left="851"/>
        <w:rPr>
          <w:sz w:val="22"/>
          <w:szCs w:val="22"/>
        </w:rPr>
      </w:pPr>
    </w:p>
    <w:p>
      <w:pPr>
        <w:numPr>
          <w:ilvl w:val="0"/>
          <w:numId w:val="54"/>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Packing</w:t>
      </w:r>
    </w:p>
    <w:p>
      <w:pPr>
        <w:numPr>
          <w:ilvl w:val="1"/>
          <w:numId w:val="54"/>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pPr>
        <w:numPr>
          <w:ilvl w:val="1"/>
          <w:numId w:val="54"/>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pPr>
        <w:spacing w:before="0" w:after="0"/>
        <w:ind w:left="851"/>
        <w:rPr>
          <w:sz w:val="22"/>
          <w:szCs w:val="22"/>
        </w:rPr>
      </w:pPr>
    </w:p>
    <w:p>
      <w:pPr>
        <w:numPr>
          <w:ilvl w:val="0"/>
          <w:numId w:val="55"/>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Delivery and documents</w:t>
      </w:r>
    </w:p>
    <w:p>
      <w:pPr>
        <w:numPr>
          <w:ilvl w:val="1"/>
          <w:numId w:val="56"/>
        </w:numPr>
        <w:spacing w:line="288" w:lineRule="auto"/>
        <w:ind w:left="495" w:right="0" w:hanging="495"/>
        <w:jc w:val="left"/>
        <w:rPr>
          <w:rFonts w:ascii="Calibri" w:eastAsia="Calibri" w:hAnsi="Calibri" w:cs="Calibri"/>
          <w:b w:val="0"/>
          <w:bCs w:val="0"/>
          <w:sz w:val="22"/>
          <w:szCs w:val="22"/>
        </w:rPr>
      </w:pPr>
      <w:r>
        <w:rPr>
          <w:rFonts w:ascii="Calibri" w:eastAsia="Calibri" w:hAnsi="Calibri" w:cs="Calibri"/>
          <w:b w:val="0"/>
          <w:bCs w:val="0"/>
          <w:sz w:val="22"/>
          <w:szCs w:val="22"/>
        </w:rPr>
        <w:t>Delivery of the goods shall be made by the supplier in accordance with the terms specified in the contract. The details of shipping and/or other documents to be furnished by the supplier are specified in SCC.</w:t>
      </w:r>
    </w:p>
    <w:p>
      <w:pPr>
        <w:numPr>
          <w:ilvl w:val="1"/>
          <w:numId w:val="56"/>
        </w:numPr>
        <w:spacing w:after="0" w:line="288" w:lineRule="auto"/>
        <w:ind w:left="495" w:right="0" w:hanging="495"/>
        <w:jc w:val="left"/>
        <w:rPr>
          <w:rFonts w:ascii="Calibri" w:eastAsia="Calibri" w:hAnsi="Calibri" w:cs="Calibri"/>
          <w:b w:val="0"/>
          <w:bCs w:val="0"/>
          <w:sz w:val="22"/>
          <w:szCs w:val="22"/>
        </w:rPr>
      </w:pPr>
      <w:r>
        <w:rPr>
          <w:rFonts w:ascii="Calibri" w:eastAsia="Calibri" w:hAnsi="Calibri" w:cs="Calibri"/>
          <w:b w:val="0"/>
          <w:bCs w:val="0"/>
          <w:sz w:val="22"/>
          <w:szCs w:val="22"/>
        </w:rPr>
        <w:t>Documents to be submitted by the supplier are specified in SCC.</w:t>
      </w:r>
    </w:p>
    <w:p>
      <w:pPr>
        <w:spacing w:before="0" w:after="0"/>
        <w:ind w:left="851" w:hanging="851"/>
        <w:rPr>
          <w:sz w:val="22"/>
          <w:szCs w:val="22"/>
        </w:rPr>
      </w:pPr>
    </w:p>
    <w:p>
      <w:pPr>
        <w:spacing w:before="0" w:after="0"/>
        <w:ind w:left="851" w:hanging="851"/>
        <w:rPr>
          <w:sz w:val="22"/>
          <w:szCs w:val="22"/>
        </w:rPr>
      </w:pPr>
    </w:p>
    <w:p>
      <w:pPr>
        <w:spacing w:before="0" w:after="0"/>
        <w:ind w:left="851" w:hanging="851"/>
        <w:rPr>
          <w:sz w:val="22"/>
          <w:szCs w:val="22"/>
        </w:rPr>
      </w:pPr>
    </w:p>
    <w:p>
      <w:pPr>
        <w:numPr>
          <w:ilvl w:val="0"/>
          <w:numId w:val="57"/>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Insurance</w:t>
      </w:r>
    </w:p>
    <w:p>
      <w:pPr>
        <w:numPr>
          <w:ilvl w:val="1"/>
          <w:numId w:val="57"/>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goods supplied under the contract shall be fully insured in a freely convertible currency against loss or damage incidental to manufacture or acquisition, transportation, storage and delivery in the manner specified in the SCC.</w:t>
      </w:r>
    </w:p>
    <w:p>
      <w:pPr>
        <w:spacing w:before="0" w:after="200"/>
        <w:rPr>
          <w:sz w:val="22"/>
          <w:szCs w:val="22"/>
        </w:rPr>
      </w:pPr>
    </w:p>
    <w:p>
      <w:pPr>
        <w:numPr>
          <w:ilvl w:val="0"/>
          <w:numId w:val="58"/>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Transportation</w:t>
      </w:r>
    </w:p>
    <w:p>
      <w:pPr>
        <w:numPr>
          <w:ilvl w:val="1"/>
          <w:numId w:val="58"/>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Should a price other than an all-inclusive delivered price be required, this shall be specified in the SCC.</w:t>
      </w:r>
    </w:p>
    <w:p>
      <w:pPr>
        <w:spacing w:before="0" w:after="0"/>
        <w:ind w:left="630"/>
        <w:rPr>
          <w:sz w:val="22"/>
          <w:szCs w:val="22"/>
        </w:rPr>
      </w:pPr>
    </w:p>
    <w:p>
      <w:pPr>
        <w:numPr>
          <w:ilvl w:val="0"/>
          <w:numId w:val="59"/>
        </w:numPr>
        <w:spacing w:before="0" w:line="288" w:lineRule="auto"/>
        <w:ind w:left="360" w:right="0" w:hanging="375"/>
        <w:jc w:val="left"/>
        <w:rPr>
          <w:rFonts w:ascii="Calibri" w:eastAsia="Calibri" w:hAnsi="Calibri" w:cs="Calibri"/>
          <w:b/>
          <w:bCs/>
          <w:sz w:val="22"/>
          <w:szCs w:val="22"/>
        </w:rPr>
      </w:pPr>
      <w:r>
        <w:rPr>
          <w:rFonts w:ascii="Calibri" w:eastAsia="Calibri" w:hAnsi="Calibri" w:cs="Calibri"/>
          <w:b/>
          <w:bCs/>
          <w:sz w:val="22"/>
          <w:szCs w:val="22"/>
        </w:rPr>
        <w:t>Incidental services</w:t>
      </w:r>
    </w:p>
    <w:p>
      <w:pPr>
        <w:numPr>
          <w:ilvl w:val="1"/>
          <w:numId w:val="59"/>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may be required to provide any or all of the following services, including additional services, if any, specified in SCC:</w:t>
      </w:r>
    </w:p>
    <w:p>
      <w:pPr>
        <w:spacing w:before="0" w:after="0"/>
        <w:ind w:left="1134" w:hanging="283"/>
        <w:rPr>
          <w:sz w:val="22"/>
          <w:szCs w:val="22"/>
        </w:rPr>
      </w:pPr>
      <w:r>
        <w:rPr>
          <w:rFonts w:ascii="Calibri" w:eastAsia="Calibri" w:hAnsi="Calibri" w:cs="Calibri"/>
          <w:sz w:val="22"/>
          <w:szCs w:val="22"/>
        </w:rPr>
        <w:t>(a) performance or supervision of on-site assembly and/or commissioning of the supplied goods;</w:t>
      </w:r>
    </w:p>
    <w:p>
      <w:pPr>
        <w:spacing w:before="0" w:after="0"/>
        <w:ind w:left="1702" w:hanging="851"/>
        <w:rPr>
          <w:sz w:val="22"/>
          <w:szCs w:val="22"/>
        </w:rPr>
      </w:pPr>
      <w:r>
        <w:rPr>
          <w:rFonts w:ascii="Calibri" w:eastAsia="Calibri" w:hAnsi="Calibri" w:cs="Calibri"/>
          <w:sz w:val="22"/>
          <w:szCs w:val="22"/>
        </w:rPr>
        <w:t>(b) furnishing of tools required for assembly and/or maintenance of the supplied goods;</w:t>
      </w:r>
    </w:p>
    <w:p>
      <w:pPr>
        <w:spacing w:before="0" w:after="0"/>
        <w:ind w:left="1134" w:hanging="283"/>
        <w:rPr>
          <w:sz w:val="22"/>
          <w:szCs w:val="22"/>
        </w:rPr>
      </w:pPr>
      <w:r>
        <w:rPr>
          <w:rFonts w:ascii="Calibri" w:eastAsia="Calibri" w:hAnsi="Calibri" w:cs="Calibri"/>
          <w:sz w:val="22"/>
          <w:szCs w:val="22"/>
        </w:rPr>
        <w:t>(c) furnishing of a detailed operations and maintenance manual for each appropriate unit of the supplied goods;</w:t>
      </w:r>
    </w:p>
    <w:p>
      <w:pPr>
        <w:spacing w:before="0" w:after="0"/>
        <w:ind w:left="1134" w:hanging="283"/>
        <w:rPr>
          <w:sz w:val="22"/>
          <w:szCs w:val="22"/>
        </w:rPr>
      </w:pPr>
      <w:r>
        <w:rPr>
          <w:rFonts w:ascii="Calibri" w:eastAsia="Calibri" w:hAnsi="Calibri" w:cs="Calibri"/>
          <w:sz w:val="22"/>
          <w:szCs w:val="22"/>
        </w:rPr>
        <w:t>(d) performance or supervision or maintenance and/or repair of the supplied goods, for a period of time agreed by the parties, provided that this service shall not relieve the supplier of any warranty obligations under this contract; and</w:t>
      </w:r>
    </w:p>
    <w:p>
      <w:pPr>
        <w:spacing w:before="0" w:after="0"/>
        <w:ind w:left="1702" w:hanging="851"/>
        <w:rPr>
          <w:sz w:val="22"/>
          <w:szCs w:val="22"/>
        </w:rPr>
      </w:pPr>
      <w:r>
        <w:rPr>
          <w:rFonts w:ascii="Calibri" w:eastAsia="Calibri" w:hAnsi="Calibri" w:cs="Calibri"/>
          <w:sz w:val="22"/>
          <w:szCs w:val="22"/>
        </w:rPr>
        <w:t xml:space="preserve">(e) </w:t>
      </w:r>
      <w:r>
        <w:rPr>
          <w:rFonts w:ascii="Calibri" w:eastAsia="Calibri" w:hAnsi="Calibri" w:cs="Calibri"/>
          <w:sz w:val="22"/>
          <w:szCs w:val="22"/>
        </w:rPr>
        <w:tab/>
      </w:r>
      <w:r>
        <w:rPr>
          <w:rFonts w:ascii="Calibri" w:eastAsia="Calibri" w:hAnsi="Calibri" w:cs="Calibri"/>
          <w:sz w:val="22"/>
          <w:szCs w:val="22"/>
        </w:rPr>
        <w:t>training of the purchaser’s personnel, at the supplier’s plant and/or on-site, in assembly, start-up, operation, maintenance, and/or repair of the supplied goods.</w:t>
      </w:r>
    </w:p>
    <w:p>
      <w:pPr>
        <w:spacing w:before="0" w:after="0"/>
        <w:ind w:left="851" w:hanging="851"/>
        <w:rPr>
          <w:sz w:val="22"/>
          <w:szCs w:val="22"/>
        </w:rPr>
      </w:pPr>
      <w:r>
        <w:rPr>
          <w:rFonts w:ascii="Calibri" w:eastAsia="Calibri" w:hAnsi="Calibri" w:cs="Calibri"/>
          <w:sz w:val="22"/>
          <w:szCs w:val="22"/>
        </w:rPr>
        <w:t xml:space="preserve">13.2. </w:t>
      </w:r>
      <w:r>
        <w:rPr>
          <w:rFonts w:ascii="Calibri" w:eastAsia="Calibri" w:hAnsi="Calibri" w:cs="Calibri"/>
          <w:sz w:val="22"/>
          <w:szCs w:val="22"/>
        </w:rPr>
        <w:tab/>
      </w:r>
      <w:r>
        <w:rPr>
          <w:rFonts w:ascii="Calibri" w:eastAsia="Calibri" w:hAnsi="Calibri" w:cs="Calibri"/>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pPr>
        <w:spacing w:before="0" w:after="200"/>
        <w:rPr>
          <w:sz w:val="22"/>
          <w:szCs w:val="22"/>
        </w:rPr>
      </w:pPr>
    </w:p>
    <w:p>
      <w:pPr>
        <w:numPr>
          <w:ilvl w:val="0"/>
          <w:numId w:val="60"/>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 xml:space="preserve">Spare parts </w:t>
      </w:r>
    </w:p>
    <w:p>
      <w:pPr>
        <w:numPr>
          <w:ilvl w:val="1"/>
          <w:numId w:val="60"/>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As specified in SCC, the supplier may be required to provide any or all of the following materials, notifications, and information pertaining to spare parts manufactured or distributed by the supplier:</w:t>
      </w:r>
    </w:p>
    <w:p>
      <w:pPr>
        <w:tabs>
          <w:tab w:val="left" w:pos="18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(a) such spare parts as the purchaser may elect to purchase from the supplier, provided that this election shall not relieve the supplier of any warranty obligations under the contract; and</w:t>
      </w:r>
    </w:p>
    <w:p>
      <w:pPr>
        <w:tabs>
          <w:tab w:val="left" w:pos="63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(b) in the event of termination of production of the spare parts:</w:t>
      </w:r>
    </w:p>
    <w:p>
      <w:pPr>
        <w:tabs>
          <w:tab w:val="left" w:pos="63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(i) Advance notification to the purchaser of the pending termination, in</w:t>
      </w:r>
      <w:r>
        <w:rPr>
          <w:rFonts w:ascii="Calibri" w:eastAsia="Calibri" w:hAnsi="Calibri" w:cs="Calibri"/>
          <w:sz w:val="22"/>
          <w:szCs w:val="22"/>
        </w:rPr>
        <w:t xml:space="preserve">   </w:t>
      </w:r>
      <w:r>
        <w:rPr>
          <w:rFonts w:ascii="Calibri" w:eastAsia="Calibri" w:hAnsi="Calibri" w:cs="Calibri"/>
          <w:sz w:val="22"/>
          <w:szCs w:val="22"/>
        </w:rPr>
        <w:t>sufficient time to permit the purchaser to procure needed requirements; and</w:t>
      </w:r>
    </w:p>
    <w:p>
      <w:pPr>
        <w:tabs>
          <w:tab w:val="left" w:pos="63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(ii) following such termination, furnishing at no cost to the purchaser, the blueprints, drawings, and specifications of the spare parts, if requested.</w:t>
      </w:r>
    </w:p>
    <w:p>
      <w:pPr>
        <w:spacing w:before="0" w:after="0"/>
        <w:ind w:left="848"/>
        <w:rPr>
          <w:sz w:val="22"/>
          <w:szCs w:val="22"/>
        </w:rPr>
      </w:pPr>
    </w:p>
    <w:p>
      <w:pPr>
        <w:numPr>
          <w:ilvl w:val="0"/>
          <w:numId w:val="61"/>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Warranty</w:t>
      </w:r>
    </w:p>
    <w:p>
      <w:pPr>
        <w:numPr>
          <w:ilvl w:val="1"/>
          <w:numId w:val="6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The supplier warrants that the goods supplied under the contract are new, unused, of the most recent or current models, and that they incorporate all recent improvements in design and </w:t>
      </w:r>
      <w:r>
        <w:rPr>
          <w:rFonts w:ascii="Calibri" w:eastAsia="Calibri" w:hAnsi="Calibri" w:cs="Calibri"/>
          <w:b w:val="0"/>
          <w:bCs w:val="0"/>
          <w:sz w:val="22"/>
          <w:szCs w:val="22"/>
        </w:rPr>
        <w:t>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pPr>
        <w:numPr>
          <w:ilvl w:val="1"/>
          <w:numId w:val="6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pPr>
        <w:numPr>
          <w:ilvl w:val="1"/>
          <w:numId w:val="6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purchaser shall promptly notify the supplier in writing of any claims arising under this warranty.</w:t>
      </w:r>
    </w:p>
    <w:p>
      <w:pPr>
        <w:numPr>
          <w:ilvl w:val="1"/>
          <w:numId w:val="6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Upon receipt of such notice, the supplier shall, within the period specified in SCC and with all reasonable speed, repair or replace the defective goods or parts thereof, without costs to the purchaser.</w:t>
      </w:r>
    </w:p>
    <w:p>
      <w:pPr>
        <w:numPr>
          <w:ilvl w:val="1"/>
          <w:numId w:val="61"/>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pPr>
        <w:spacing w:before="0" w:after="0"/>
        <w:rPr>
          <w:sz w:val="22"/>
          <w:szCs w:val="22"/>
        </w:rPr>
      </w:pPr>
    </w:p>
    <w:p>
      <w:pPr>
        <w:spacing w:before="0" w:after="0"/>
        <w:rPr>
          <w:sz w:val="22"/>
          <w:szCs w:val="22"/>
        </w:rPr>
      </w:pPr>
    </w:p>
    <w:p>
      <w:pPr>
        <w:numPr>
          <w:ilvl w:val="0"/>
          <w:numId w:val="62"/>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Payment</w:t>
      </w:r>
    </w:p>
    <w:p>
      <w:pPr>
        <w:numPr>
          <w:ilvl w:val="1"/>
          <w:numId w:val="62"/>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method and conditions of payment to be made to the supplier under this contract shall be specified in SCC.</w:t>
      </w:r>
    </w:p>
    <w:p>
      <w:pPr>
        <w:numPr>
          <w:ilvl w:val="1"/>
          <w:numId w:val="62"/>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shall furnish the purchaser with an invoice accompanied by a copy of the delivery note and upon fulfillment of other obligations stipulated in the contract.</w:t>
      </w:r>
    </w:p>
    <w:p>
      <w:pPr>
        <w:numPr>
          <w:ilvl w:val="1"/>
          <w:numId w:val="62"/>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Payments shall be made promptly by the purchaser, but in no case later than thirty (30) days after submission of an invoice or claim by the supplier.</w:t>
      </w:r>
    </w:p>
    <w:p>
      <w:pPr>
        <w:numPr>
          <w:ilvl w:val="1"/>
          <w:numId w:val="62"/>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Payment will be made in Rand unless otherwise stipulated in SCC.</w:t>
      </w:r>
    </w:p>
    <w:p>
      <w:pPr>
        <w:spacing w:before="0" w:after="0"/>
        <w:ind w:left="851"/>
        <w:rPr>
          <w:sz w:val="22"/>
          <w:szCs w:val="22"/>
        </w:rPr>
      </w:pPr>
    </w:p>
    <w:p>
      <w:pPr>
        <w:spacing w:before="0" w:after="0"/>
        <w:ind w:left="435"/>
        <w:rPr>
          <w:sz w:val="22"/>
          <w:szCs w:val="22"/>
        </w:rPr>
      </w:pPr>
    </w:p>
    <w:p>
      <w:pPr>
        <w:spacing w:before="0" w:after="0"/>
        <w:ind w:left="435"/>
        <w:rPr>
          <w:sz w:val="22"/>
          <w:szCs w:val="22"/>
        </w:rPr>
      </w:pPr>
    </w:p>
    <w:p>
      <w:pPr>
        <w:numPr>
          <w:ilvl w:val="0"/>
          <w:numId w:val="63"/>
        </w:numPr>
        <w:spacing w:before="0" w:line="288" w:lineRule="auto"/>
        <w:ind w:left="540" w:right="0" w:hanging="375"/>
        <w:jc w:val="left"/>
        <w:rPr>
          <w:rFonts w:ascii="Calibri" w:eastAsia="Calibri" w:hAnsi="Calibri" w:cs="Calibri"/>
          <w:b/>
          <w:bCs/>
          <w:sz w:val="22"/>
          <w:szCs w:val="22"/>
        </w:rPr>
      </w:pPr>
      <w:r>
        <w:rPr>
          <w:rFonts w:ascii="Calibri" w:eastAsia="Calibri" w:hAnsi="Calibri" w:cs="Calibri"/>
          <w:b/>
          <w:bCs/>
          <w:sz w:val="22"/>
          <w:szCs w:val="22"/>
        </w:rPr>
        <w:t>Prices</w:t>
      </w:r>
    </w:p>
    <w:p>
      <w:pPr>
        <w:numPr>
          <w:ilvl w:val="1"/>
          <w:numId w:val="63"/>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pPr>
        <w:spacing w:before="0" w:after="200"/>
        <w:rPr>
          <w:sz w:val="22"/>
          <w:szCs w:val="22"/>
        </w:rPr>
      </w:pPr>
    </w:p>
    <w:p>
      <w:pPr>
        <w:numPr>
          <w:ilvl w:val="0"/>
          <w:numId w:val="64"/>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Contract amendments</w:t>
      </w:r>
    </w:p>
    <w:p>
      <w:pPr>
        <w:numPr>
          <w:ilvl w:val="1"/>
          <w:numId w:val="64"/>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 variation in or modification of the terms of the contract shall be made except by written amendment signed by the parties concerned.</w:t>
      </w:r>
    </w:p>
    <w:p>
      <w:pPr>
        <w:spacing w:before="0" w:after="200"/>
        <w:rPr>
          <w:sz w:val="22"/>
          <w:szCs w:val="22"/>
        </w:rPr>
      </w:pPr>
    </w:p>
    <w:p>
      <w:pPr>
        <w:numPr>
          <w:ilvl w:val="0"/>
          <w:numId w:val="65"/>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Assignment</w:t>
      </w:r>
    </w:p>
    <w:p>
      <w:pPr>
        <w:numPr>
          <w:ilvl w:val="1"/>
          <w:numId w:val="65"/>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shall not assign, in whole or in part, its obligations to perform under the contract, except with the purchaser’s prior written consent.</w:t>
      </w:r>
    </w:p>
    <w:p>
      <w:pPr>
        <w:spacing w:before="0" w:after="200"/>
        <w:rPr>
          <w:sz w:val="22"/>
          <w:szCs w:val="22"/>
        </w:rPr>
      </w:pPr>
    </w:p>
    <w:p>
      <w:pPr>
        <w:numPr>
          <w:ilvl w:val="0"/>
          <w:numId w:val="66"/>
        </w:numPr>
        <w:tabs>
          <w:tab w:val="left" w:pos="713"/>
        </w:tabs>
        <w:spacing w:before="0" w:line="288" w:lineRule="auto"/>
        <w:ind w:left="810" w:right="0" w:hanging="810"/>
        <w:jc w:val="left"/>
        <w:rPr>
          <w:rFonts w:ascii="Calibri" w:eastAsia="Calibri" w:hAnsi="Calibri" w:cs="Calibri"/>
          <w:b/>
          <w:bCs/>
          <w:sz w:val="22"/>
          <w:szCs w:val="22"/>
        </w:rPr>
      </w:pPr>
      <w:r>
        <w:rPr>
          <w:rFonts w:ascii="Calibri" w:eastAsia="Calibri" w:hAnsi="Calibri" w:cs="Calibri"/>
          <w:b/>
          <w:bCs/>
          <w:sz w:val="22"/>
          <w:szCs w:val="22"/>
        </w:rPr>
        <w:t>Subcontracts</w:t>
      </w:r>
    </w:p>
    <w:p>
      <w:pPr>
        <w:numPr>
          <w:ilvl w:val="1"/>
          <w:numId w:val="66"/>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pPr>
        <w:spacing w:before="0" w:after="200"/>
        <w:rPr>
          <w:sz w:val="22"/>
          <w:szCs w:val="22"/>
        </w:rPr>
      </w:pPr>
    </w:p>
    <w:p>
      <w:pPr>
        <w:numPr>
          <w:ilvl w:val="0"/>
          <w:numId w:val="67"/>
        </w:numPr>
        <w:pBdr>
          <w:left w:val="none" w:sz="0" w:space="21" w:color="auto"/>
        </w:pBdr>
        <w:spacing w:before="0" w:line="288" w:lineRule="auto"/>
        <w:ind w:left="810" w:right="0" w:hanging="803"/>
        <w:jc w:val="left"/>
        <w:rPr>
          <w:rFonts w:ascii="Calibri" w:eastAsia="Calibri" w:hAnsi="Calibri" w:cs="Calibri"/>
          <w:b/>
          <w:bCs/>
          <w:sz w:val="22"/>
          <w:szCs w:val="22"/>
        </w:rPr>
      </w:pPr>
      <w:r>
        <w:rPr>
          <w:rFonts w:ascii="Calibri" w:eastAsia="Calibri" w:hAnsi="Calibri" w:cs="Calibri"/>
          <w:b/>
          <w:bCs/>
          <w:sz w:val="22"/>
          <w:szCs w:val="22"/>
        </w:rPr>
        <w:t>Delays in the supplier’s performance</w:t>
      </w:r>
    </w:p>
    <w:p>
      <w:pPr>
        <w:numPr>
          <w:ilvl w:val="1"/>
          <w:numId w:val="6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Delivery of the goods and performance of services shall be made by the supplier in accordance with the time schedule prescribed by the purchaser in the contract.</w:t>
      </w:r>
    </w:p>
    <w:p>
      <w:pPr>
        <w:numPr>
          <w:ilvl w:val="1"/>
          <w:numId w:val="6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pPr>
        <w:numPr>
          <w:ilvl w:val="1"/>
          <w:numId w:val="6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 provision in a contract shall be deemed to prohibit the obtaining of supplies or services from a national department, provincial department, or a local authority.</w:t>
      </w:r>
    </w:p>
    <w:p>
      <w:pPr>
        <w:numPr>
          <w:ilvl w:val="1"/>
          <w:numId w:val="6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pPr>
        <w:numPr>
          <w:ilvl w:val="1"/>
          <w:numId w:val="6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pPr>
        <w:numPr>
          <w:ilvl w:val="1"/>
          <w:numId w:val="67"/>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pPr>
        <w:spacing w:before="0" w:after="0"/>
        <w:ind w:left="848"/>
        <w:rPr>
          <w:sz w:val="22"/>
          <w:szCs w:val="22"/>
        </w:rPr>
      </w:pPr>
    </w:p>
    <w:p>
      <w:pPr>
        <w:spacing w:before="0" w:after="0"/>
        <w:rPr>
          <w:sz w:val="22"/>
          <w:szCs w:val="22"/>
        </w:rPr>
      </w:pPr>
    </w:p>
    <w:p>
      <w:pPr>
        <w:numPr>
          <w:ilvl w:val="0"/>
          <w:numId w:val="68"/>
        </w:numPr>
        <w:pBdr>
          <w:left w:val="none" w:sz="0" w:space="21" w:color="auto"/>
        </w:pBdr>
        <w:spacing w:before="0" w:line="288" w:lineRule="auto"/>
        <w:ind w:left="810" w:right="0" w:hanging="803"/>
        <w:jc w:val="left"/>
        <w:rPr>
          <w:rFonts w:ascii="Calibri" w:eastAsia="Calibri" w:hAnsi="Calibri" w:cs="Calibri"/>
          <w:b/>
          <w:bCs/>
          <w:sz w:val="22"/>
          <w:szCs w:val="22"/>
        </w:rPr>
      </w:pPr>
      <w:r>
        <w:rPr>
          <w:rFonts w:ascii="Calibri" w:eastAsia="Calibri" w:hAnsi="Calibri" w:cs="Calibri"/>
          <w:b/>
          <w:bCs/>
          <w:sz w:val="22"/>
          <w:szCs w:val="22"/>
        </w:rPr>
        <w:t>Penalties</w:t>
      </w:r>
    </w:p>
    <w:p>
      <w:pPr>
        <w:numPr>
          <w:ilvl w:val="1"/>
          <w:numId w:val="68"/>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w:t>
      </w:r>
      <w:r>
        <w:rPr>
          <w:rFonts w:ascii="Calibri" w:eastAsia="Calibri" w:hAnsi="Calibri" w:cs="Calibri"/>
          <w:b w:val="0"/>
          <w:bCs w:val="0"/>
          <w:sz w:val="22"/>
          <w:szCs w:val="22"/>
        </w:rPr>
        <w:t>on the delivered price of the delayed goods or unperformed services using the current prime interest rate calculated for each day of the delay until actual delivery or performance. The purchaser may also consider termination of the contract pursuant to GCC Clause 23.</w:t>
      </w:r>
    </w:p>
    <w:p>
      <w:pPr>
        <w:spacing w:before="0" w:after="200"/>
        <w:rPr>
          <w:sz w:val="22"/>
          <w:szCs w:val="22"/>
        </w:rPr>
      </w:pPr>
    </w:p>
    <w:p>
      <w:pPr>
        <w:numPr>
          <w:ilvl w:val="0"/>
          <w:numId w:val="69"/>
        </w:numPr>
        <w:pBdr>
          <w:left w:val="none" w:sz="0" w:space="21" w:color="auto"/>
        </w:pBdr>
        <w:spacing w:before="0" w:line="288" w:lineRule="auto"/>
        <w:ind w:left="810" w:right="0" w:hanging="803"/>
        <w:jc w:val="left"/>
        <w:rPr>
          <w:rFonts w:ascii="Calibri" w:eastAsia="Calibri" w:hAnsi="Calibri" w:cs="Calibri"/>
          <w:b/>
          <w:bCs/>
          <w:sz w:val="22"/>
          <w:szCs w:val="22"/>
        </w:rPr>
      </w:pPr>
      <w:r>
        <w:rPr>
          <w:rFonts w:ascii="Calibri" w:eastAsia="Calibri" w:hAnsi="Calibri" w:cs="Calibri"/>
          <w:b/>
          <w:bCs/>
          <w:sz w:val="22"/>
          <w:szCs w:val="22"/>
        </w:rPr>
        <w:t>Termination for default</w:t>
      </w:r>
    </w:p>
    <w:p>
      <w:pPr>
        <w:numPr>
          <w:ilvl w:val="1"/>
          <w:numId w:val="69"/>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purchaser, without prejudice to any other remedy for breach of contract, by written notice of default sent to the supplier, may terminate this contract in whole or in part:</w:t>
      </w:r>
    </w:p>
    <w:p>
      <w:pPr>
        <w:tabs>
          <w:tab w:val="left" w:pos="284"/>
        </w:tabs>
        <w:spacing w:before="0" w:after="0"/>
        <w:ind w:left="993" w:hanging="993"/>
        <w:rPr>
          <w:sz w:val="22"/>
          <w:szCs w:val="22"/>
        </w:rPr>
      </w:pPr>
      <w:r>
        <w:rPr>
          <w:sz w:val="22"/>
          <w:szCs w:val="22"/>
        </w:rPr>
        <w:tab/>
      </w:r>
      <w:r>
        <w:rPr>
          <w:sz w:val="22"/>
          <w:szCs w:val="22"/>
        </w:rPr>
        <w:tab/>
      </w:r>
      <w:r>
        <w:rPr>
          <w:rFonts w:ascii="Calibri" w:eastAsia="Calibri" w:hAnsi="Calibri" w:cs="Calibri"/>
          <w:sz w:val="22"/>
          <w:szCs w:val="22"/>
        </w:rPr>
        <w:t>(a) if the supplier fails to deliver any or all of the goods within the period(s) specified in the contract, or within any extension thereof granted by the purchaser pursuant to GCC clause 21.2;</w:t>
      </w:r>
    </w:p>
    <w:p>
      <w:pPr>
        <w:tabs>
          <w:tab w:val="left" w:pos="284"/>
        </w:tabs>
        <w:spacing w:before="0" w:after="0"/>
        <w:ind w:left="993" w:hanging="993"/>
        <w:rPr>
          <w:sz w:val="22"/>
          <w:szCs w:val="22"/>
        </w:rPr>
      </w:pPr>
      <w:r>
        <w:rPr>
          <w:sz w:val="22"/>
          <w:szCs w:val="22"/>
        </w:rPr>
        <w:tab/>
      </w:r>
      <w:r>
        <w:rPr>
          <w:sz w:val="22"/>
          <w:szCs w:val="22"/>
        </w:rPr>
        <w:tab/>
      </w:r>
      <w:r>
        <w:rPr>
          <w:rFonts w:ascii="Calibri" w:eastAsia="Calibri" w:hAnsi="Calibri" w:cs="Calibri"/>
          <w:sz w:val="22"/>
          <w:szCs w:val="22"/>
        </w:rPr>
        <w:t>(b) if the supplier fails to perform any other obligation(s) under the contract; or</w:t>
      </w:r>
    </w:p>
    <w:p>
      <w:pPr>
        <w:tabs>
          <w:tab w:val="left" w:pos="284"/>
        </w:tabs>
        <w:spacing w:before="0" w:after="0"/>
        <w:ind w:left="993" w:hanging="993"/>
        <w:rPr>
          <w:sz w:val="22"/>
          <w:szCs w:val="22"/>
        </w:rPr>
      </w:pPr>
      <w:r>
        <w:rPr>
          <w:sz w:val="22"/>
          <w:szCs w:val="22"/>
        </w:rPr>
        <w:tab/>
      </w:r>
      <w:r>
        <w:rPr>
          <w:sz w:val="22"/>
          <w:szCs w:val="22"/>
        </w:rPr>
        <w:tab/>
      </w:r>
      <w:r>
        <w:rPr>
          <w:rFonts w:ascii="Calibri" w:eastAsia="Calibri" w:hAnsi="Calibri" w:cs="Calibri"/>
          <w:sz w:val="22"/>
          <w:szCs w:val="22"/>
        </w:rPr>
        <w:t>(c) if the supplier, in the judgment of the purchaser, has engaged in corrupt or fraudulent practices in competing for or in executing the contract</w:t>
      </w:r>
    </w:p>
    <w:p>
      <w:pPr>
        <w:spacing w:before="0" w:after="0" w:line="288" w:lineRule="auto"/>
        <w:ind w:left="837" w:hanging="837"/>
        <w:rPr>
          <w:sz w:val="22"/>
          <w:szCs w:val="22"/>
        </w:rPr>
      </w:pPr>
      <w:r>
        <w:rPr>
          <w:rFonts w:ascii="Calibri" w:eastAsia="Calibri" w:hAnsi="Calibri" w:cs="Calibri"/>
          <w:sz w:val="22"/>
          <w:szCs w:val="22"/>
        </w:rPr>
        <w:t>23.2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pPr>
        <w:spacing w:before="0" w:after="0" w:line="288" w:lineRule="auto"/>
        <w:ind w:left="837" w:hanging="837"/>
        <w:rPr>
          <w:sz w:val="22"/>
          <w:szCs w:val="22"/>
        </w:rPr>
      </w:pPr>
      <w:r>
        <w:rPr>
          <w:rFonts w:ascii="Calibri" w:eastAsia="Calibri" w:hAnsi="Calibri" w:cs="Calibri"/>
          <w:sz w:val="22"/>
          <w:szCs w:val="22"/>
        </w:rPr>
        <w:t>23.3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Where the purchaser terminates the contract in whole or in part, the purchaser may decide to impose a restriction penalty on the supplier by prohibiting such supplier from doing business with the public sector for a period not exceeding 10 years.</w:t>
      </w:r>
    </w:p>
    <w:p>
      <w:pPr>
        <w:spacing w:before="0" w:after="0" w:line="288" w:lineRule="auto"/>
        <w:ind w:left="837" w:hanging="837"/>
        <w:rPr>
          <w:sz w:val="22"/>
          <w:szCs w:val="22"/>
        </w:rPr>
      </w:pPr>
      <w:r>
        <w:rPr>
          <w:rFonts w:ascii="Calibri" w:eastAsia="Calibri" w:hAnsi="Calibri" w:cs="Calibri"/>
          <w:sz w:val="22"/>
          <w:szCs w:val="22"/>
        </w:rPr>
        <w:t>23.4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If a purchaser intends imposing a restriction on a supplier or any 12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pPr>
        <w:spacing w:before="0" w:after="0" w:line="288" w:lineRule="auto"/>
        <w:ind w:left="837" w:hanging="837"/>
        <w:rPr>
          <w:sz w:val="22"/>
          <w:szCs w:val="22"/>
        </w:rPr>
      </w:pPr>
      <w:r>
        <w:rPr>
          <w:rFonts w:ascii="Calibri" w:eastAsia="Calibri" w:hAnsi="Calibri" w:cs="Calibri"/>
          <w:sz w:val="22"/>
          <w:szCs w:val="22"/>
        </w:rPr>
        <w:t>23.5</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pPr>
        <w:spacing w:before="0" w:after="0" w:line="288" w:lineRule="auto"/>
        <w:ind w:left="837" w:hanging="837"/>
        <w:rPr>
          <w:sz w:val="22"/>
          <w:szCs w:val="22"/>
        </w:rPr>
      </w:pPr>
      <w:r>
        <w:rPr>
          <w:rFonts w:ascii="Calibri" w:eastAsia="Calibri" w:hAnsi="Calibri" w:cs="Calibri"/>
          <w:sz w:val="22"/>
          <w:szCs w:val="22"/>
        </w:rPr>
        <w:t>23.6</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If a restriction is imposed, the purchaser must, within five (5) working days of such imposition, furnish the National Treasury, with the following information:</w:t>
      </w:r>
    </w:p>
    <w:p>
      <w:pPr>
        <w:spacing w:before="0" w:after="0"/>
        <w:ind w:left="837" w:hanging="837"/>
        <w:rPr>
          <w:sz w:val="22"/>
          <w:szCs w:val="22"/>
        </w:rPr>
      </w:pPr>
    </w:p>
    <w:p>
      <w:pPr>
        <w:spacing w:before="0" w:after="0" w:line="288" w:lineRule="auto"/>
        <w:ind w:left="837" w:hanging="837"/>
        <w:rPr>
          <w:sz w:val="22"/>
          <w:szCs w:val="22"/>
        </w:rPr>
      </w:pPr>
      <w:r>
        <w:rPr>
          <w:rFonts w:ascii="Calibri" w:eastAsia="Calibri" w:hAnsi="Calibri" w:cs="Calibri"/>
          <w:sz w:val="22"/>
          <w:szCs w:val="22"/>
        </w:rPr>
        <w:t>(i)</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name and address of the supplier and /or person restricted by the purchaser</w:t>
      </w:r>
    </w:p>
    <w:p>
      <w:pPr>
        <w:spacing w:before="0" w:after="0" w:line="288" w:lineRule="auto"/>
        <w:ind w:left="837" w:hanging="837"/>
        <w:rPr>
          <w:sz w:val="22"/>
          <w:szCs w:val="22"/>
        </w:rPr>
      </w:pPr>
      <w:r>
        <w:rPr>
          <w:rFonts w:ascii="Calibri" w:eastAsia="Calibri" w:hAnsi="Calibri" w:cs="Calibri"/>
          <w:sz w:val="22"/>
          <w:szCs w:val="22"/>
        </w:rPr>
        <w:t>(ii)</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date of commencement of the restriction</w:t>
      </w:r>
    </w:p>
    <w:p>
      <w:pPr>
        <w:spacing w:before="0" w:after="0" w:line="288" w:lineRule="auto"/>
        <w:ind w:left="837" w:hanging="837"/>
        <w:rPr>
          <w:sz w:val="22"/>
          <w:szCs w:val="22"/>
        </w:rPr>
      </w:pPr>
      <w:r>
        <w:rPr>
          <w:rFonts w:ascii="Calibri" w:eastAsia="Calibri" w:hAnsi="Calibri" w:cs="Calibri"/>
          <w:sz w:val="22"/>
          <w:szCs w:val="22"/>
        </w:rPr>
        <w:t>(iii)</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 xml:space="preserve"> the period of restriction; and</w:t>
      </w:r>
    </w:p>
    <w:p>
      <w:pPr>
        <w:spacing w:before="0" w:after="0" w:line="288" w:lineRule="auto"/>
        <w:ind w:left="837" w:hanging="837"/>
        <w:rPr>
          <w:sz w:val="22"/>
          <w:szCs w:val="22"/>
        </w:rPr>
      </w:pPr>
      <w:r>
        <w:rPr>
          <w:rFonts w:ascii="Calibri" w:eastAsia="Calibri" w:hAnsi="Calibri" w:cs="Calibri"/>
          <w:sz w:val="22"/>
          <w:szCs w:val="22"/>
        </w:rPr>
        <w:t>(iv)</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reasons for the restriction.</w:t>
      </w:r>
    </w:p>
    <w:p>
      <w:pPr>
        <w:spacing w:before="0" w:after="0"/>
        <w:ind w:left="90"/>
        <w:rPr>
          <w:sz w:val="22"/>
          <w:szCs w:val="22"/>
        </w:rPr>
      </w:pPr>
    </w:p>
    <w:p>
      <w:pPr>
        <w:spacing w:before="0" w:after="0"/>
        <w:ind w:left="709"/>
        <w:rPr>
          <w:sz w:val="22"/>
          <w:szCs w:val="22"/>
        </w:rPr>
      </w:pPr>
      <w:r>
        <w:rPr>
          <w:rFonts w:ascii="Calibri" w:eastAsia="Calibri" w:hAnsi="Calibri" w:cs="Calibri"/>
          <w:sz w:val="22"/>
          <w:szCs w:val="22"/>
        </w:rPr>
        <w:t>These details will be loaded in the National Treasury’s central database of suppliers or persons prohibited from doing business with the public sector.</w:t>
      </w:r>
    </w:p>
    <w:p>
      <w:pPr>
        <w:spacing w:before="0" w:after="0" w:line="288" w:lineRule="auto"/>
        <w:ind w:left="848" w:hanging="848"/>
        <w:rPr>
          <w:sz w:val="22"/>
          <w:szCs w:val="22"/>
        </w:rPr>
      </w:pPr>
      <w:r>
        <w:rPr>
          <w:rFonts w:ascii="Calibri" w:eastAsia="Calibri" w:hAnsi="Calibri" w:cs="Calibri"/>
          <w:sz w:val="22"/>
          <w:szCs w:val="22"/>
        </w:rPr>
        <w:t>23.7</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pPr>
        <w:spacing w:before="0" w:after="200"/>
        <w:rPr>
          <w:sz w:val="22"/>
          <w:szCs w:val="22"/>
        </w:rPr>
      </w:pPr>
    </w:p>
    <w:p>
      <w:pPr>
        <w:numPr>
          <w:ilvl w:val="0"/>
          <w:numId w:val="70"/>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Anti-dumping and countervailing duties and rights</w:t>
      </w:r>
    </w:p>
    <w:p>
      <w:pPr>
        <w:numPr>
          <w:ilvl w:val="1"/>
          <w:numId w:val="70"/>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pPr>
        <w:spacing w:before="0" w:after="0"/>
        <w:ind w:left="848"/>
        <w:rPr>
          <w:sz w:val="22"/>
          <w:szCs w:val="22"/>
        </w:rPr>
      </w:pPr>
    </w:p>
    <w:p>
      <w:pPr>
        <w:spacing w:before="0" w:after="0"/>
        <w:ind w:left="848"/>
        <w:rPr>
          <w:sz w:val="22"/>
          <w:szCs w:val="22"/>
        </w:rPr>
      </w:pPr>
    </w:p>
    <w:p>
      <w:pPr>
        <w:numPr>
          <w:ilvl w:val="0"/>
          <w:numId w:val="71"/>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Force Majeure</w:t>
      </w:r>
    </w:p>
    <w:p>
      <w:pPr>
        <w:numPr>
          <w:ilvl w:val="1"/>
          <w:numId w:val="7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pPr>
        <w:numPr>
          <w:ilvl w:val="1"/>
          <w:numId w:val="71"/>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pPr>
        <w:spacing w:before="0" w:after="200"/>
        <w:rPr>
          <w:sz w:val="22"/>
          <w:szCs w:val="22"/>
        </w:rPr>
      </w:pPr>
    </w:p>
    <w:p>
      <w:pPr>
        <w:numPr>
          <w:ilvl w:val="0"/>
          <w:numId w:val="72"/>
        </w:numPr>
        <w:spacing w:before="0" w:after="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Termination for insolvency</w:t>
      </w:r>
    </w:p>
    <w:p>
      <w:pPr>
        <w:spacing w:before="0" w:after="0"/>
        <w:ind w:left="709" w:hanging="709"/>
        <w:rPr>
          <w:sz w:val="22"/>
          <w:szCs w:val="22"/>
        </w:rPr>
      </w:pPr>
      <w:r>
        <w:rPr>
          <w:rFonts w:ascii="Calibri" w:eastAsia="Calibri" w:hAnsi="Calibri" w:cs="Calibri"/>
          <w:sz w:val="22"/>
          <w:szCs w:val="22"/>
        </w:rPr>
        <w:t xml:space="preserve">26.1 </w:t>
      </w:r>
      <w:r>
        <w:rPr>
          <w:rFonts w:ascii="Calibri" w:eastAsia="Calibri" w:hAnsi="Calibri" w:cs="Calibri"/>
          <w:sz w:val="22"/>
          <w:szCs w:val="22"/>
        </w:rPr>
        <w:tab/>
      </w:r>
      <w:r>
        <w:rPr>
          <w:rFonts w:ascii="Calibri" w:eastAsia="Calibri" w:hAnsi="Calibri" w:cs="Calibri"/>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pPr>
        <w:spacing w:before="0" w:after="0"/>
        <w:ind w:left="375"/>
        <w:rPr>
          <w:sz w:val="22"/>
          <w:szCs w:val="22"/>
        </w:rPr>
      </w:pPr>
    </w:p>
    <w:p>
      <w:pPr>
        <w:spacing w:before="0" w:after="0"/>
        <w:ind w:left="375"/>
        <w:rPr>
          <w:sz w:val="22"/>
          <w:szCs w:val="22"/>
        </w:rPr>
      </w:pPr>
    </w:p>
    <w:p>
      <w:pPr>
        <w:spacing w:before="0" w:after="0"/>
        <w:ind w:left="375"/>
        <w:rPr>
          <w:sz w:val="22"/>
          <w:szCs w:val="22"/>
        </w:rPr>
      </w:pPr>
    </w:p>
    <w:p>
      <w:pPr>
        <w:numPr>
          <w:ilvl w:val="0"/>
          <w:numId w:val="73"/>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Settlement of Disputes</w:t>
      </w:r>
    </w:p>
    <w:p>
      <w:pPr>
        <w:numPr>
          <w:ilvl w:val="1"/>
          <w:numId w:val="73"/>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pPr>
        <w:numPr>
          <w:ilvl w:val="1"/>
          <w:numId w:val="73"/>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pPr>
        <w:numPr>
          <w:ilvl w:val="1"/>
          <w:numId w:val="73"/>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Should it not be possible to settle a dispute by means of mediation, it may be settled in a South African court of law.</w:t>
      </w:r>
    </w:p>
    <w:p>
      <w:pPr>
        <w:numPr>
          <w:ilvl w:val="1"/>
          <w:numId w:val="73"/>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Mediation proceedings shall be conducted in accordance with the rules of procedure specified in the SCC.</w:t>
      </w:r>
    </w:p>
    <w:p>
      <w:pPr>
        <w:numPr>
          <w:ilvl w:val="1"/>
          <w:numId w:val="73"/>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Notwithstanding any reference to mediation and/or court proceedings herein, </w:t>
      </w:r>
    </w:p>
    <w:p>
      <w:pPr>
        <w:spacing w:before="0" w:after="0" w:line="288" w:lineRule="auto"/>
        <w:ind w:left="1080" w:hanging="360"/>
        <w:rPr>
          <w:sz w:val="22"/>
          <w:szCs w:val="22"/>
        </w:rPr>
      </w:pPr>
      <w:r>
        <w:rPr>
          <w:rFonts w:ascii="Calibri" w:eastAsia="Calibri" w:hAnsi="Calibri" w:cs="Calibri"/>
          <w:sz w:val="22"/>
          <w:szCs w:val="22"/>
        </w:rPr>
        <w:t>(a)</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parties shall continue to perform their respective obligations under the contract unless they otherwise agree; and</w:t>
      </w:r>
    </w:p>
    <w:p>
      <w:pPr>
        <w:spacing w:before="0" w:after="0" w:line="288" w:lineRule="auto"/>
        <w:ind w:left="1080" w:hanging="360"/>
        <w:rPr>
          <w:sz w:val="22"/>
          <w:szCs w:val="22"/>
        </w:rPr>
      </w:pPr>
      <w:r>
        <w:rPr>
          <w:rFonts w:ascii="Calibri" w:eastAsia="Calibri" w:hAnsi="Calibri" w:cs="Calibri"/>
          <w:sz w:val="22"/>
          <w:szCs w:val="22"/>
        </w:rPr>
        <w:t>(b)</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 xml:space="preserve"> the purchaser shall pay the supplier any monies due the supplier.</w:t>
      </w:r>
    </w:p>
    <w:p>
      <w:pPr>
        <w:spacing w:before="0" w:after="200"/>
        <w:ind w:firstLine="142"/>
        <w:rPr>
          <w:sz w:val="22"/>
          <w:szCs w:val="22"/>
        </w:rPr>
      </w:pPr>
    </w:p>
    <w:p>
      <w:pPr>
        <w:numPr>
          <w:ilvl w:val="0"/>
          <w:numId w:val="74"/>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Limitation of liability</w:t>
      </w:r>
    </w:p>
    <w:p>
      <w:pPr>
        <w:numPr>
          <w:ilvl w:val="1"/>
          <w:numId w:val="74"/>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Except in cases of criminal negligence or willful misconduct, and in the case of infringement pursuant to Clause 6;</w:t>
      </w:r>
    </w:p>
    <w:p>
      <w:pPr>
        <w:spacing w:before="0" w:after="0"/>
        <w:ind w:left="709"/>
        <w:rPr>
          <w:sz w:val="22"/>
          <w:szCs w:val="22"/>
        </w:rPr>
      </w:pPr>
      <w:r>
        <w:rPr>
          <w:rFonts w:ascii="Calibri" w:eastAsia="Calibri" w:hAnsi="Calibri" w:cs="Calibri"/>
          <w:sz w:val="22"/>
          <w:szCs w:val="22"/>
        </w:rPr>
        <w:t>(a) the supplier shall not be liable to the purchaser, whether in contract, tort, or</w:t>
      </w:r>
      <w:r>
        <w:rPr>
          <w:rFonts w:ascii="Calibri" w:eastAsia="Calibri" w:hAnsi="Calibri" w:cs="Calibri"/>
          <w:sz w:val="22"/>
          <w:szCs w:val="22"/>
        </w:rPr>
        <w:t xml:space="preserve">  </w:t>
      </w:r>
      <w:r>
        <w:rPr>
          <w:rFonts w:ascii="Calibri" w:eastAsia="Calibri" w:hAnsi="Calibri" w:cs="Calibri"/>
          <w:sz w:val="22"/>
          <w:szCs w:val="22"/>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pPr>
        <w:spacing w:before="0" w:after="0"/>
        <w:ind w:left="720"/>
        <w:rPr>
          <w:sz w:val="22"/>
          <w:szCs w:val="22"/>
        </w:rPr>
      </w:pPr>
      <w:r>
        <w:rPr>
          <w:rFonts w:ascii="Calibri" w:eastAsia="Calibri" w:hAnsi="Calibri" w:cs="Calibri"/>
          <w:sz w:val="22"/>
          <w:szCs w:val="22"/>
        </w:rPr>
        <w:t>(b) the aggregate liability of the supplier to the purchaser, whether under the contract, in tort or otherwise, shall not exceed the total contract price, provided that this limitation shall not apply to the cost of repairing or replacing defective equipment.</w:t>
      </w:r>
    </w:p>
    <w:p>
      <w:pPr>
        <w:spacing w:before="0" w:after="0"/>
        <w:ind w:left="773" w:hanging="773"/>
        <w:rPr>
          <w:sz w:val="22"/>
          <w:szCs w:val="22"/>
        </w:rPr>
      </w:pPr>
    </w:p>
    <w:p>
      <w:pPr>
        <w:spacing w:before="0" w:after="0"/>
        <w:rPr>
          <w:sz w:val="22"/>
          <w:szCs w:val="22"/>
        </w:rPr>
      </w:pPr>
    </w:p>
    <w:p>
      <w:pPr>
        <w:numPr>
          <w:ilvl w:val="0"/>
          <w:numId w:val="75"/>
        </w:numPr>
        <w:spacing w:before="0" w:line="288" w:lineRule="auto"/>
        <w:ind w:left="360" w:right="0" w:hanging="375"/>
        <w:jc w:val="left"/>
        <w:rPr>
          <w:rFonts w:ascii="Calibri" w:eastAsia="Calibri" w:hAnsi="Calibri" w:cs="Calibri"/>
          <w:b/>
          <w:bCs/>
          <w:sz w:val="22"/>
          <w:szCs w:val="22"/>
        </w:rPr>
      </w:pPr>
      <w:r>
        <w:rPr>
          <w:rFonts w:ascii="Calibri" w:eastAsia="Calibri" w:hAnsi="Calibri" w:cs="Calibri"/>
          <w:b/>
          <w:bCs/>
          <w:sz w:val="22"/>
          <w:szCs w:val="22"/>
        </w:rPr>
        <w:t>Governing language</w:t>
      </w:r>
    </w:p>
    <w:p>
      <w:pPr>
        <w:numPr>
          <w:ilvl w:val="1"/>
          <w:numId w:val="75"/>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contract shall be written in English. All correspondence and other documents pertaining to the contract that is exchanged by the parties shall also be written in English.</w:t>
      </w:r>
    </w:p>
    <w:p>
      <w:pPr>
        <w:spacing w:before="0" w:after="0"/>
        <w:ind w:left="773" w:hanging="773"/>
        <w:rPr>
          <w:sz w:val="22"/>
          <w:szCs w:val="22"/>
        </w:rPr>
      </w:pPr>
    </w:p>
    <w:p>
      <w:pPr>
        <w:spacing w:before="0" w:after="0"/>
        <w:rPr>
          <w:sz w:val="22"/>
          <w:szCs w:val="22"/>
        </w:rPr>
      </w:pPr>
    </w:p>
    <w:p>
      <w:pPr>
        <w:numPr>
          <w:ilvl w:val="0"/>
          <w:numId w:val="76"/>
        </w:numPr>
        <w:pBdr>
          <w:left w:val="none" w:sz="0" w:space="2" w:color="auto"/>
        </w:pBdr>
        <w:spacing w:before="0" w:line="288" w:lineRule="auto"/>
        <w:ind w:left="426" w:right="0" w:hanging="419"/>
        <w:jc w:val="left"/>
        <w:rPr>
          <w:rFonts w:ascii="Calibri" w:eastAsia="Calibri" w:hAnsi="Calibri" w:cs="Calibri"/>
          <w:b/>
          <w:bCs/>
          <w:sz w:val="22"/>
          <w:szCs w:val="22"/>
        </w:rPr>
      </w:pPr>
      <w:r>
        <w:rPr>
          <w:rFonts w:ascii="Calibri" w:eastAsia="Calibri" w:hAnsi="Calibri" w:cs="Calibri"/>
          <w:b/>
          <w:bCs/>
          <w:sz w:val="22"/>
          <w:szCs w:val="22"/>
        </w:rPr>
        <w:t>Applicable law</w:t>
      </w:r>
    </w:p>
    <w:p>
      <w:pPr>
        <w:numPr>
          <w:ilvl w:val="1"/>
          <w:numId w:val="76"/>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contract shall be interpreted in accordance with South African laws, unless otherwise specified in SCC.</w:t>
      </w:r>
    </w:p>
    <w:p>
      <w:pPr>
        <w:spacing w:before="0" w:after="0"/>
        <w:ind w:left="773" w:hanging="773"/>
        <w:rPr>
          <w:sz w:val="22"/>
          <w:szCs w:val="22"/>
        </w:rPr>
      </w:pPr>
    </w:p>
    <w:p>
      <w:pPr>
        <w:spacing w:before="0" w:after="0"/>
        <w:ind w:left="773" w:hanging="773"/>
        <w:rPr>
          <w:sz w:val="22"/>
          <w:szCs w:val="22"/>
        </w:rPr>
      </w:pPr>
    </w:p>
    <w:p>
      <w:pPr>
        <w:numPr>
          <w:ilvl w:val="0"/>
          <w:numId w:val="77"/>
        </w:numPr>
        <w:pBdr>
          <w:left w:val="none" w:sz="0" w:space="19" w:color="auto"/>
        </w:pBdr>
        <w:spacing w:before="0" w:line="288" w:lineRule="auto"/>
        <w:ind w:left="773" w:right="0" w:hanging="766"/>
        <w:jc w:val="left"/>
        <w:rPr>
          <w:rFonts w:ascii="Calibri" w:eastAsia="Calibri" w:hAnsi="Calibri" w:cs="Calibri"/>
          <w:b/>
          <w:bCs/>
          <w:sz w:val="22"/>
          <w:szCs w:val="22"/>
        </w:rPr>
      </w:pPr>
      <w:r>
        <w:rPr>
          <w:rFonts w:ascii="Calibri" w:eastAsia="Calibri" w:hAnsi="Calibri" w:cs="Calibri"/>
          <w:b/>
          <w:bCs/>
          <w:sz w:val="22"/>
          <w:szCs w:val="22"/>
        </w:rPr>
        <w:t xml:space="preserve">Notices </w:t>
      </w:r>
    </w:p>
    <w:p>
      <w:pPr>
        <w:numPr>
          <w:ilvl w:val="1"/>
          <w:numId w:val="7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Every written acceptance of a bid shall be posted to the supplier concerned by registered or certified mail and any other notice to him shall be posted by ordinary mail to the address furnished in his bid or </w:t>
      </w:r>
      <w:r>
        <w:rPr>
          <w:rFonts w:ascii="Calibri" w:eastAsia="Calibri" w:hAnsi="Calibri" w:cs="Calibri"/>
          <w:b w:val="0"/>
          <w:bCs w:val="0"/>
          <w:sz w:val="22"/>
          <w:szCs w:val="22"/>
        </w:rPr>
        <w:t>to the address notified later by him in writing and such posting shall be deemed to be proper service of such notice</w:t>
      </w:r>
    </w:p>
    <w:p>
      <w:pPr>
        <w:numPr>
          <w:ilvl w:val="1"/>
          <w:numId w:val="77"/>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time mentioned in the contract documents for performing any act after such aforesaid notice has been given, shall be reckoned from the date of posting of such notice.</w:t>
      </w:r>
    </w:p>
    <w:p>
      <w:pPr>
        <w:spacing w:before="0" w:after="0"/>
        <w:ind w:left="773" w:hanging="773"/>
        <w:rPr>
          <w:sz w:val="22"/>
          <w:szCs w:val="22"/>
        </w:rPr>
      </w:pPr>
    </w:p>
    <w:p>
      <w:pPr>
        <w:numPr>
          <w:ilvl w:val="0"/>
          <w:numId w:val="78"/>
        </w:numPr>
        <w:pBdr>
          <w:left w:val="none" w:sz="0" w:space="19" w:color="auto"/>
        </w:pBdr>
        <w:spacing w:before="0" w:line="288" w:lineRule="auto"/>
        <w:ind w:left="773" w:right="0" w:hanging="766"/>
        <w:jc w:val="left"/>
        <w:rPr>
          <w:rFonts w:ascii="Calibri" w:eastAsia="Calibri" w:hAnsi="Calibri" w:cs="Calibri"/>
          <w:b/>
          <w:bCs/>
          <w:sz w:val="22"/>
          <w:szCs w:val="22"/>
        </w:rPr>
      </w:pPr>
      <w:r>
        <w:rPr>
          <w:rFonts w:ascii="Calibri" w:eastAsia="Calibri" w:hAnsi="Calibri" w:cs="Calibri"/>
          <w:b/>
          <w:bCs/>
          <w:sz w:val="22"/>
          <w:szCs w:val="22"/>
        </w:rPr>
        <w:t>Taxes and duties</w:t>
      </w:r>
    </w:p>
    <w:p>
      <w:pPr>
        <w:numPr>
          <w:ilvl w:val="1"/>
          <w:numId w:val="78"/>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A foreign supplier shall be entirely responsible for all taxes, stamp duties, license fees, and other such levies imposed outside the purchaser’s country.</w:t>
      </w:r>
    </w:p>
    <w:p>
      <w:pPr>
        <w:numPr>
          <w:ilvl w:val="1"/>
          <w:numId w:val="78"/>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A local supplier shall be entirely responsible for all taxes, duties, license fees, etc., incurred until delivery of the contracted goods to the purchaser.</w:t>
      </w:r>
    </w:p>
    <w:p>
      <w:pPr>
        <w:numPr>
          <w:ilvl w:val="1"/>
          <w:numId w:val="78"/>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pPr>
        <w:spacing w:before="0" w:after="200"/>
        <w:rPr>
          <w:sz w:val="22"/>
          <w:szCs w:val="22"/>
        </w:rPr>
      </w:pPr>
    </w:p>
    <w:p>
      <w:pPr>
        <w:numPr>
          <w:ilvl w:val="0"/>
          <w:numId w:val="79"/>
        </w:numPr>
        <w:tabs>
          <w:tab w:val="left" w:pos="443"/>
        </w:tabs>
        <w:spacing w:before="0" w:line="288" w:lineRule="auto"/>
        <w:ind w:left="900" w:right="0" w:hanging="900"/>
        <w:jc w:val="left"/>
        <w:rPr>
          <w:rFonts w:ascii="Calibri" w:eastAsia="Calibri" w:hAnsi="Calibri" w:cs="Calibri"/>
          <w:b/>
          <w:bCs/>
          <w:sz w:val="22"/>
          <w:szCs w:val="22"/>
        </w:rPr>
      </w:pPr>
      <w:r>
        <w:rPr>
          <w:rFonts w:ascii="Calibri" w:eastAsia="Calibri" w:hAnsi="Calibri" w:cs="Calibri"/>
          <w:b/>
          <w:bCs/>
          <w:sz w:val="22"/>
          <w:szCs w:val="22"/>
        </w:rPr>
        <w:t xml:space="preserve">National Industrial Participation (NIP) Programme </w:t>
      </w:r>
    </w:p>
    <w:p>
      <w:pPr>
        <w:numPr>
          <w:ilvl w:val="1"/>
          <w:numId w:val="79"/>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NIP Programme administered by the Department of Trade and Industry shall be applicable to all contracts that are subject to the NIP obligation.</w:t>
      </w:r>
    </w:p>
    <w:p>
      <w:pPr>
        <w:spacing w:before="0" w:after="200"/>
        <w:rPr>
          <w:sz w:val="22"/>
          <w:szCs w:val="22"/>
        </w:rPr>
      </w:pPr>
    </w:p>
    <w:p>
      <w:pPr>
        <w:numPr>
          <w:ilvl w:val="0"/>
          <w:numId w:val="80"/>
        </w:numPr>
        <w:pBdr>
          <w:left w:val="none" w:sz="0" w:space="2" w:color="auto"/>
        </w:pBdr>
        <w:spacing w:before="0" w:line="288" w:lineRule="auto"/>
        <w:ind w:left="720" w:right="0" w:hanging="419"/>
        <w:jc w:val="left"/>
        <w:rPr>
          <w:rFonts w:ascii="Calibri" w:eastAsia="Calibri" w:hAnsi="Calibri" w:cs="Calibri"/>
          <w:b/>
          <w:bCs/>
          <w:sz w:val="22"/>
          <w:szCs w:val="22"/>
        </w:rPr>
      </w:pPr>
      <w:r>
        <w:rPr>
          <w:rFonts w:ascii="Calibri" w:eastAsia="Calibri" w:hAnsi="Calibri" w:cs="Calibri"/>
          <w:b/>
          <w:bCs/>
          <w:sz w:val="22"/>
          <w:szCs w:val="22"/>
        </w:rPr>
        <w:t>Prohibition of Restrictive practices</w:t>
      </w:r>
    </w:p>
    <w:p>
      <w:pPr>
        <w:numPr>
          <w:ilvl w:val="1"/>
          <w:numId w:val="80"/>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pPr>
        <w:numPr>
          <w:ilvl w:val="1"/>
          <w:numId w:val="80"/>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pPr>
        <w:numPr>
          <w:ilvl w:val="1"/>
          <w:numId w:val="80"/>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pPr>
        <w:spacing w:before="0" w:after="0" w:line="322" w:lineRule="atLeast"/>
      </w:pPr>
    </w:p>
    <w:p>
      <w:pPr>
        <w:spacing w:before="0" w:after="0" w:line="322" w:lineRule="atLeast"/>
        <w:ind w:left="118"/>
      </w:pPr>
      <w:r>
        <w:rPr>
          <w:rFonts w:ascii="Calibri" w:eastAsia="Calibri" w:hAnsi="Calibri" w:cs="Calibri"/>
          <w:sz w:val="22"/>
          <w:szCs w:val="22"/>
        </w:rPr>
        <w:t xml:space="preserve"> </w:t>
      </w:r>
      <w:r>
        <w:rPr>
          <w:rFonts w:ascii="Calibri" w:eastAsia="Calibri" w:hAnsi="Calibri" w:cs="Calibri"/>
          <w:sz w:val="22"/>
          <w:szCs w:val="22"/>
        </w:rPr>
        <w:t>General Conditions of Contract (revised July 2010)</w:t>
      </w:r>
    </w:p>
    <w:p>
      <w:pPr>
        <w:spacing w:before="0" w:after="0" w:line="200" w:lineRule="atLeast"/>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sectPr>
      <w:type w:val="nextPage"/>
      <w:pgSz w:w="11906" w:h="16838"/>
      <w:pgMar w:top="822" w:right="1525" w:bottom="1440" w:left="777"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137585"/>
      <w:placeholder>
        <w:docPart w:val="DefaultPlaceholder_22675703"/>
      </w:placeholder>
      <w:richText/>
    </w:sdtPr>
    <w:sdtContent>
      <w:p>
        <w:pPr>
          <w:spacing w:before="0" w:after="0"/>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rFonts w:ascii="Arial" w:eastAsia="Arial" w:hAnsi="Arial" w:cs="Arial"/>
            <w:sz w:val="22"/>
            <w:szCs w:val="22"/>
          </w:rPr>
          <w:t>46</w:t>
        </w:r>
        <w:r>
          <w:rPr>
            <w:rFonts w:ascii="Arial" w:eastAsia="Arial" w:hAnsi="Arial" w:cs="Arial"/>
            <w:sz w:val="22"/>
            <w:szCs w:val="22"/>
          </w:rPr>
          <w:fldChar w:fldCharType="end"/>
        </w:r>
      </w:p>
    </w:sdtContent>
  </w:sdt>
  <w:p>
    <w:pPr>
      <w:spacing w:before="0" w:after="0"/>
      <w:ind w:right="360"/>
      <w:rPr>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2100"/>
      </w:tabs>
      <w:spacing w:before="0" w:after="0"/>
      <w:rPr>
        <w:sz w:val="22"/>
        <w:szCs w:val="22"/>
      </w:rPr>
    </w:pPr>
    <w:sdt>
      <w:sdtPr>
        <w:id w:val="1012876867"/>
        <w:placeholder>
          <w:docPart w:val="DefaultPlaceholder_22675703"/>
        </w:placeholder>
        <w:showingPlcHdr/>
        <w:text/>
      </w:sdtPr>
      <w:sdtContent>
        <w:r>
          <w:rPr>
            <w:strike w:val="0"/>
            <w:sz w:val="22"/>
            <w:szCs w:val="22"/>
            <w:u w:val="none"/>
          </w:rPr>
          <w:drawing>
            <wp:anchor simplePos="0" relativeHeight="251658240" behindDoc="1" locked="0" layoutInCell="1" allowOverlap="1">
              <wp:simplePos x="0" y="0"/>
              <wp:positionH relativeFrom="margin">
                <wp:posOffset>0</wp:posOffset>
              </wp:positionH>
              <wp:positionV relativeFrom="margin">
                <wp:posOffset>0</wp:posOffset>
              </wp:positionV>
              <wp:extent cx="5934075" cy="59340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5934075" cy="5934075"/>
                      </a:xfrm>
                      <a:prstGeom prst="rect">
                        <a:avLst/>
                      </a:prstGeom>
                    </pic:spPr>
                  </pic:pic>
                </a:graphicData>
              </a:graphic>
            </wp:anchor>
          </w:drawing>
        </w:r>
      </w:sdtContent>
    </w:sdt>
    <w:r>
      <w:rPr>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16"/>
        <w:szCs w:val="16"/>
      </w:rPr>
    </w:pPr>
  </w:p>
  <w:p>
    <w:pPr>
      <w:tabs>
        <w:tab w:val="left" w:pos="3270"/>
      </w:tabs>
      <w:spacing w:before="0" w:after="0"/>
      <w:rPr>
        <w:sz w:val="16"/>
        <w:szCs w:val="16"/>
      </w:rPr>
    </w:pPr>
    <w:r>
      <w:rPr>
        <w:sz w:val="16"/>
        <w:szCs w:val="16"/>
      </w:rPr>
      <w:tab/>
    </w: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hybridMultilevel"/>
    <w:tmpl w:val="0000000B"/>
    <w:lvl w:ilvl="0">
      <w:start w:val="1"/>
      <w:numFmt w:val="bullet"/>
      <w:lvlText w:val=""/>
      <w:lvlJc w:val="left"/>
      <w:pPr>
        <w:ind w:left="720" w:hanging="360"/>
      </w:pPr>
      <w:rPr>
        <w:rFonts w:ascii="Wingdings" w:hAnsi="Wingdings"/>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multilevel"/>
    <w:tmpl w:val="000000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hybridMultilevel"/>
    <w:tmpl w:val="0000001F"/>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0"/>
    <w:multiLevelType w:val="multilevel"/>
    <w:tmpl w:val="000000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2A"/>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multilevel"/>
    <w:tmpl w:val="0000002B"/>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multilevel"/>
    <w:tmpl w:val="0000002C"/>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multilevel"/>
    <w:tmpl w:val="0000002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lvl w:ilvl="0">
      <w:start w:val="2"/>
      <w:numFmt w:val="decimal"/>
      <w:lvlText w:val="%1."/>
      <w:lvlJc w:val="left"/>
      <w:pPr>
        <w:tabs>
          <w:tab w:val="num" w:pos="720"/>
        </w:tabs>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00000030"/>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lvl w:ilvl="0">
      <w:start w:val="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multilevel"/>
    <w:tmpl w:val="00000032"/>
    <w:lvl w:ilvl="0">
      <w:start w:val="6"/>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multilevel"/>
    <w:tmpl w:val="00000033"/>
    <w:lvl w:ilvl="0">
      <w:start w:val="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multilevel"/>
    <w:tmpl w:val="00000034"/>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multilevel"/>
    <w:tmpl w:val="00000035"/>
    <w:lvl w:ilvl="0">
      <w:start w:val="18"/>
      <w:numFmt w:val="decimal"/>
      <w:lvlText w:val="%1."/>
      <w:lvlJc w:val="left"/>
      <w:pPr>
        <w:tabs>
          <w:tab w:val="num" w:pos="720"/>
        </w:tabs>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multilevel"/>
    <w:tmpl w:val="00000036"/>
    <w:lvl w:ilvl="0">
      <w:start w:val="9"/>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multilevel"/>
    <w:tmpl w:val="00000037"/>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38"/>
    <w:lvl w:ilvl="0">
      <w:start w:val="1"/>
      <w:numFmt w:val="decimal"/>
      <w:lvlText w:val="%1."/>
      <w:lvlJc w:val="left"/>
      <w:pPr>
        <w:tabs>
          <w:tab w:val="num" w:pos="720"/>
        </w:tabs>
        <w:ind w:left="720" w:hanging="360"/>
      </w:pPr>
    </w:lvl>
    <w:lvl w:ilvl="1">
      <w:start w:val="25"/>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multilevel"/>
    <w:tmpl w:val="00000039"/>
    <w:lvl w:ilvl="0">
      <w:start w:val="1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A"/>
    <w:multiLevelType w:val="multilevel"/>
    <w:tmpl w:val="0000003A"/>
    <w:lvl w:ilvl="0">
      <w:start w:val="1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lvl w:ilvl="0">
      <w:start w:val="1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lvl w:ilvl="0">
      <w:start w:val="1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D"/>
    <w:multiLevelType w:val="multilevel"/>
    <w:tmpl w:val="0000003D"/>
    <w:lvl w:ilvl="0">
      <w:start w:val="1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E"/>
    <w:multiLevelType w:val="multilevel"/>
    <w:tmpl w:val="0000003E"/>
    <w:lvl w:ilvl="0">
      <w:start w:val="16"/>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3F"/>
    <w:multiLevelType w:val="multilevel"/>
    <w:tmpl w:val="0000003F"/>
    <w:lvl w:ilvl="0">
      <w:start w:val="1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1"/>
    <w:multiLevelType w:val="multilevel"/>
    <w:tmpl w:val="00000041"/>
    <w:lvl w:ilvl="0">
      <w:start w:val="19"/>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multilevel"/>
    <w:tmpl w:val="00000042"/>
    <w:lvl w:ilvl="0">
      <w:start w:val="20"/>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3"/>
    <w:multiLevelType w:val="multilevel"/>
    <w:tmpl w:val="00000043"/>
    <w:lvl w:ilvl="0">
      <w:start w:val="2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4"/>
    <w:multiLevelType w:val="multilevel"/>
    <w:tmpl w:val="00000044"/>
    <w:lvl w:ilvl="0">
      <w:start w:val="2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45"/>
    <w:multiLevelType w:val="multilevel"/>
    <w:tmpl w:val="00000045"/>
    <w:lvl w:ilvl="0">
      <w:start w:val="2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46"/>
    <w:multiLevelType w:val="multilevel"/>
    <w:tmpl w:val="00000046"/>
    <w:lvl w:ilvl="0">
      <w:start w:val="2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47"/>
    <w:multiLevelType w:val="multilevel"/>
    <w:tmpl w:val="00000047"/>
    <w:lvl w:ilvl="0">
      <w:start w:val="2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48"/>
    <w:multiLevelType w:val="multilevel"/>
    <w:tmpl w:val="00000048"/>
    <w:lvl w:ilvl="0">
      <w:start w:val="2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00000049"/>
    <w:multiLevelType w:val="multilevel"/>
    <w:tmpl w:val="00000049"/>
    <w:lvl w:ilvl="0">
      <w:start w:val="2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0000004A"/>
    <w:multiLevelType w:val="multilevel"/>
    <w:tmpl w:val="0000004A"/>
    <w:lvl w:ilvl="0">
      <w:start w:val="2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000004B"/>
    <w:multiLevelType w:val="multilevel"/>
    <w:tmpl w:val="0000004B"/>
    <w:lvl w:ilvl="0">
      <w:start w:val="29"/>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0000004C"/>
    <w:multiLevelType w:val="multilevel"/>
    <w:tmpl w:val="0000004C"/>
    <w:lvl w:ilvl="0">
      <w:start w:val="30"/>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D"/>
    <w:multiLevelType w:val="multilevel"/>
    <w:tmpl w:val="0000004D"/>
    <w:lvl w:ilvl="0">
      <w:start w:val="3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0000004E"/>
    <w:multiLevelType w:val="multilevel"/>
    <w:tmpl w:val="0000004E"/>
    <w:lvl w:ilvl="0">
      <w:start w:val="3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0000004F"/>
    <w:multiLevelType w:val="multilevel"/>
    <w:tmpl w:val="0000004F"/>
    <w:lvl w:ilvl="0">
      <w:start w:val="3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00000050"/>
    <w:multiLevelType w:val="multilevel"/>
    <w:tmpl w:val="00000050"/>
    <w:lvl w:ilvl="0">
      <w:start w:val="3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treasury.gov.za" TargetMode="External"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jpe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glossaryDocument" Target="glossary/document.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mailto:Supplychain@inseta.org.za" TargetMode="External" /><Relationship Id="rId8" Type="http://schemas.openxmlformats.org/officeDocument/2006/relationships/hyperlink" Target="http://www.sars.gov.za" TargetMode="Externa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4010BAF-BD4F-4200-A01D-9D03E586806A}"/>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